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110</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401640</w:t>
      </w:r>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cs="Arial"/>
          <w:b/>
          <w:sz w:val="24"/>
          <w:szCs w:val="24"/>
          <w:lang w:eastAsia="zh-CN"/>
        </w:rPr>
        <w:t>Athens, GR, 26 Feb – 01 Mar, 202</w:t>
      </w:r>
      <w:r>
        <w:rPr>
          <w:rFonts w:hint="eastAsia" w:ascii="Arial" w:hAnsi="Arial" w:eastAsia="宋体" w:cs="Arial"/>
          <w:b/>
          <w:sz w:val="24"/>
          <w:szCs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6"/>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6"/>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R4-232xxxx Discussion on ATG maintenance of core part</w:t>
      </w:r>
    </w:p>
    <w:p>
      <w:pPr>
        <w:pStyle w:val="16"/>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8.9.5</w:t>
      </w:r>
    </w:p>
    <w:p>
      <w:pPr>
        <w:pStyle w:val="16"/>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10"/>
        <w:tabs>
          <w:tab w:val="left" w:pos="226"/>
          <w:tab w:val="left" w:pos="284"/>
          <w:tab w:val="left" w:pos="5103"/>
        </w:tabs>
        <w:snapToGrid w:val="0"/>
        <w:spacing w:before="156" w:beforeLines="50"/>
        <w:rPr>
          <w:rFonts w:hint="eastAsia" w:eastAsia="宋体"/>
          <w:color w:val="auto"/>
          <w:sz w:val="20"/>
          <w:szCs w:val="20"/>
          <w:lang w:val="en-US" w:eastAsia="zh-CN"/>
        </w:rPr>
      </w:pPr>
      <w:r>
        <w:rPr>
          <w:rFonts w:hint="eastAsia" w:eastAsia="宋体"/>
          <w:color w:val="auto"/>
          <w:sz w:val="20"/>
          <w:szCs w:val="20"/>
          <w:lang w:val="en-US" w:eastAsia="zh-CN"/>
        </w:rPr>
        <w:t xml:space="preserve">During previous meetings, wide discussion around the core part requirements of ATG have been discussed and good progress were held. During last meeting, the UE features relevant to ATG has been discussed and the majority UE features were determined to captured into [1]. While still some UE features are uncertain. In this paper, we provide our views on the suspending UE features.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hint="eastAsia" w:eastAsia="宋体"/>
          <w:color w:val="auto"/>
          <w:lang w:eastAsia="zh-CN"/>
        </w:rPr>
        <w:t>Discussion</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The following several UE features were raised in [2] but still suspending:</w:t>
      </w:r>
    </w:p>
    <w:tbl>
      <w:tblPr>
        <w:tblStyle w:val="18"/>
        <w:tblW w:w="947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2142"/>
        <w:gridCol w:w="1071"/>
        <w:gridCol w:w="876"/>
        <w:gridCol w:w="960"/>
        <w:gridCol w:w="813"/>
        <w:gridCol w:w="766"/>
        <w:gridCol w:w="951"/>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GB"/>
              </w:rPr>
            </w:pPr>
            <w:r>
              <w:rPr>
                <w:rFonts w:eastAsia="宋体"/>
                <w:b w:val="0"/>
                <w:bCs/>
                <w:i w:val="0"/>
                <w:iCs w:val="0"/>
                <w:kern w:val="2"/>
                <w:sz w:val="18"/>
                <w:szCs w:val="18"/>
              </w:rPr>
              <w:t>Feature group</w:t>
            </w:r>
          </w:p>
        </w:tc>
        <w:tc>
          <w:tcPr>
            <w:tcW w:w="2142"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Components</w:t>
            </w:r>
          </w:p>
        </w:tc>
        <w:tc>
          <w:tcPr>
            <w:tcW w:w="107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Prerequisite feature groups</w:t>
            </w:r>
          </w:p>
        </w:tc>
        <w:tc>
          <w:tcPr>
            <w:tcW w:w="87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 xml:space="preserve">Field name in TS 38.331 </w:t>
            </w:r>
          </w:p>
        </w:tc>
        <w:tc>
          <w:tcPr>
            <w:tcW w:w="96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hint="default" w:eastAsia="宋体"/>
                <w:b w:val="0"/>
                <w:bCs/>
                <w:i w:val="0"/>
                <w:iCs w:val="0"/>
                <w:kern w:val="2"/>
                <w:sz w:val="18"/>
                <w:lang w:val="en-US" w:eastAsia="zh-CN"/>
              </w:rPr>
            </w:pPr>
            <w:r>
              <w:rPr>
                <w:rFonts w:hint="eastAsia" w:eastAsia="宋体"/>
                <w:b w:val="0"/>
                <w:bCs/>
                <w:i w:val="0"/>
                <w:iCs w:val="0"/>
                <w:kern w:val="2"/>
                <w:sz w:val="18"/>
                <w:szCs w:val="18"/>
                <w:lang w:val="en-US" w:eastAsia="zh-CN"/>
              </w:rPr>
              <w:t>Type</w:t>
            </w:r>
          </w:p>
        </w:tc>
        <w:tc>
          <w:tcPr>
            <w:tcW w:w="8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US"/>
              </w:rPr>
            </w:pPr>
            <w:r>
              <w:rPr>
                <w:rFonts w:eastAsia="宋体"/>
                <w:b w:val="0"/>
                <w:bCs/>
                <w:i w:val="0"/>
                <w:iCs w:val="0"/>
                <w:kern w:val="2"/>
                <w:sz w:val="18"/>
                <w:szCs w:val="18"/>
              </w:rPr>
              <w:t>Need of FDD/TDD differentiation</w:t>
            </w:r>
          </w:p>
        </w:tc>
        <w:tc>
          <w:tcPr>
            <w:tcW w:w="76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US"/>
              </w:rPr>
            </w:pPr>
            <w:r>
              <w:rPr>
                <w:rFonts w:eastAsia="宋体"/>
                <w:b w:val="0"/>
                <w:bCs/>
                <w:i w:val="0"/>
                <w:iCs w:val="0"/>
                <w:kern w:val="2"/>
                <w:sz w:val="18"/>
                <w:szCs w:val="18"/>
              </w:rPr>
              <w:t>Need of FR1/FR2 differentiation</w:t>
            </w:r>
          </w:p>
        </w:tc>
        <w:tc>
          <w:tcPr>
            <w:tcW w:w="95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Note</w:t>
            </w:r>
          </w:p>
        </w:tc>
        <w:tc>
          <w:tcPr>
            <w:tcW w:w="101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lang w:eastAsia="en-GB"/>
              </w:rPr>
            </w:pPr>
            <w:r>
              <w:rPr>
                <w:rFonts w:eastAsia="宋体"/>
                <w:b w:val="0"/>
                <w:bCs/>
                <w:i w:val="0"/>
                <w:iCs w:val="0"/>
                <w:kern w:val="2"/>
                <w:sz w:val="18"/>
                <w:highlight w:val="yellow"/>
                <w:lang w:eastAsia="en-GB"/>
              </w:rPr>
              <w:t>Event A4 based CHO</w:t>
            </w:r>
          </w:p>
        </w:tc>
        <w:tc>
          <w:tcPr>
            <w:tcW w:w="2142"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rPr>
            </w:pPr>
            <w:r>
              <w:rPr>
                <w:rFonts w:eastAsia="宋体"/>
                <w:b w:val="0"/>
                <w:bCs/>
                <w:i w:val="0"/>
                <w:iCs w:val="0"/>
                <w:kern w:val="2"/>
                <w:sz w:val="18"/>
              </w:rPr>
              <w:t>Indicates whether the UE supports Event A4 based CHO</w:t>
            </w:r>
          </w:p>
        </w:tc>
        <w:tc>
          <w:tcPr>
            <w:tcW w:w="1071"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rPr>
            </w:pPr>
            <w:r>
              <w:rPr>
                <w:rFonts w:hint="eastAsia"/>
                <w:color w:val="000000"/>
                <w:sz w:val="18"/>
                <w:szCs w:val="18"/>
              </w:rPr>
              <w:t>1</w:t>
            </w:r>
            <w:r>
              <w:rPr>
                <w:color w:val="000000"/>
                <w:sz w:val="18"/>
                <w:szCs w:val="18"/>
              </w:rPr>
              <w:t>7-3 CHO</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val="0"/>
                <w:bCs/>
                <w:i w:val="0"/>
                <w:iCs w:val="0"/>
                <w:kern w:val="2"/>
                <w:sz w:val="18"/>
              </w:rPr>
            </w:pPr>
            <w:r>
              <w:rPr>
                <w:rFonts w:hint="eastAsia" w:eastAsia="宋体"/>
                <w:b w:val="0"/>
                <w:bCs/>
                <w:i w:val="0"/>
                <w:iCs w:val="0"/>
                <w:kern w:val="2"/>
                <w:sz w:val="18"/>
              </w:rPr>
              <w:t>TBD</w:t>
            </w:r>
          </w:p>
        </w:tc>
        <w:tc>
          <w:tcPr>
            <w:tcW w:w="960"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rPr>
            </w:pPr>
            <w:r>
              <w:rPr>
                <w:rFonts w:eastAsia="宋体"/>
                <w:b w:val="0"/>
                <w:bCs/>
                <w:i w:val="0"/>
                <w:iCs w:val="0"/>
                <w:kern w:val="2"/>
                <w:sz w:val="18"/>
              </w:rPr>
              <w:t>BandNR</w:t>
            </w:r>
          </w:p>
        </w:tc>
        <w:tc>
          <w:tcPr>
            <w:tcW w:w="813"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lang w:eastAsia="en-US"/>
              </w:rPr>
            </w:pPr>
            <w:r>
              <w:rPr>
                <w:rFonts w:eastAsia="宋体"/>
                <w:b w:val="0"/>
                <w:bCs/>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lang w:eastAsia="en-US"/>
              </w:rPr>
            </w:pPr>
            <w:r>
              <w:rPr>
                <w:rFonts w:eastAsia="宋体"/>
                <w:b w:val="0"/>
                <w:bCs/>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rPr>
            </w:pPr>
            <w:r>
              <w:rPr>
                <w:rFonts w:eastAsia="宋体"/>
                <w:b w:val="0"/>
                <w:bCs/>
                <w:i w:val="0"/>
                <w:iCs w:val="0"/>
                <w:kern w:val="2"/>
                <w:sz w:val="18"/>
              </w:rPr>
              <w:t xml:space="preserve">UE shall set the capability value consistently for all </w:t>
            </w:r>
            <w:r>
              <w:rPr>
                <w:rFonts w:hint="eastAsia" w:eastAsia="宋体"/>
                <w:b w:val="0"/>
                <w:bCs/>
                <w:i w:val="0"/>
                <w:iCs w:val="0"/>
                <w:kern w:val="2"/>
                <w:sz w:val="18"/>
              </w:rPr>
              <w:t>ATG operating</w:t>
            </w:r>
            <w:r>
              <w:rPr>
                <w:rFonts w:eastAsia="宋体"/>
                <w:b w:val="0"/>
                <w:bCs/>
                <w:i w:val="0"/>
                <w:iCs w:val="0"/>
                <w:kern w:val="2"/>
                <w:sz w:val="18"/>
              </w:rPr>
              <w:t xml:space="preserve"> bands.</w:t>
            </w:r>
          </w:p>
        </w:tc>
        <w:tc>
          <w:tcPr>
            <w:tcW w:w="1015" w:type="dxa"/>
            <w:tcBorders>
              <w:top w:val="single" w:color="auto" w:sz="4" w:space="0"/>
              <w:left w:val="single" w:color="auto" w:sz="4" w:space="0"/>
              <w:bottom w:val="single" w:color="auto" w:sz="4" w:space="0"/>
              <w:right w:val="single" w:color="auto" w:sz="4" w:space="0"/>
            </w:tcBorders>
          </w:tcPr>
          <w:p>
            <w:pPr>
              <w:keepNext/>
              <w:keepLines/>
              <w:rPr>
                <w:rFonts w:eastAsia="宋体"/>
                <w:b w:val="0"/>
                <w:bCs/>
                <w:i w:val="0"/>
                <w:iCs w:val="0"/>
                <w:kern w:val="2"/>
                <w:sz w:val="18"/>
              </w:rPr>
            </w:pPr>
            <w:r>
              <w:rPr>
                <w:rFonts w:eastAsia="宋体"/>
                <w:b w:val="0"/>
                <w:bCs/>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highlight w:val="yellow"/>
                <w:lang w:val="en-US" w:eastAsia="en-GB" w:bidi="ar-SA"/>
              </w:rPr>
            </w:pPr>
            <w:r>
              <w:rPr>
                <w:rFonts w:eastAsia="宋体"/>
                <w:b w:val="0"/>
                <w:bCs/>
                <w:i w:val="0"/>
                <w:iCs w:val="0"/>
                <w:kern w:val="2"/>
                <w:sz w:val="18"/>
                <w:highlight w:val="yellow"/>
                <w:lang w:eastAsia="en-GB"/>
              </w:rPr>
              <w:t>Location-based measurement report trigger</w:t>
            </w:r>
          </w:p>
        </w:tc>
        <w:tc>
          <w:tcPr>
            <w:tcW w:w="2142"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Indicates whether the UE supports location-based triggered measurement reporting (i.e., event D1)</w:t>
            </w:r>
          </w:p>
        </w:tc>
        <w:tc>
          <w:tcPr>
            <w:tcW w:w="1071" w:type="dxa"/>
            <w:tcBorders>
              <w:top w:val="single" w:color="auto" w:sz="4" w:space="0"/>
              <w:left w:val="single" w:color="auto" w:sz="4" w:space="0"/>
              <w:bottom w:val="single" w:color="auto" w:sz="4" w:space="0"/>
              <w:right w:val="single" w:color="auto" w:sz="4" w:space="0"/>
            </w:tcBorders>
            <w:vAlign w:val="top"/>
          </w:tcPr>
          <w:p>
            <w:pPr>
              <w:keepNext/>
              <w:keepLines/>
              <w:rPr>
                <w:rFonts w:eastAsia="宋体"/>
                <w:b w:val="0"/>
                <w:bCs/>
                <w:i w:val="0"/>
                <w:iCs w:val="0"/>
                <w:kern w:val="2"/>
                <w:sz w:val="18"/>
              </w:rPr>
            </w:pPr>
            <w:r>
              <w:rPr>
                <w:rFonts w:hint="eastAsia" w:eastAsia="宋体"/>
                <w:b w:val="0"/>
                <w:bCs/>
                <w:i w:val="0"/>
                <w:iCs w:val="0"/>
                <w:kern w:val="2"/>
                <w:sz w:val="18"/>
              </w:rPr>
              <w:t>TBD</w:t>
            </w:r>
          </w:p>
          <w:p>
            <w:pPr>
              <w:keepNext/>
              <w:keepLines/>
              <w:rPr>
                <w:rFonts w:ascii="Times New Roman" w:hAnsi="Times New Roman" w:eastAsia="宋体" w:cs="Times New Roman"/>
                <w:b w:val="0"/>
                <w:bCs/>
                <w:i w:val="0"/>
                <w:iCs w:val="0"/>
                <w:kern w:val="2"/>
                <w:sz w:val="18"/>
                <w:szCs w:val="24"/>
                <w:lang w:val="en-US" w:eastAsia="en-US" w:bidi="ar-SA"/>
              </w:rPr>
            </w:pPr>
            <w:r>
              <w:rPr>
                <w:rFonts w:hint="eastAsia" w:eastAsia="宋体"/>
                <w:b w:val="0"/>
                <w:bCs/>
                <w:i w:val="0"/>
                <w:iCs w:val="0"/>
                <w:kern w:val="2"/>
                <w:sz w:val="18"/>
              </w:rPr>
              <w:t>[</w:t>
            </w:r>
            <w:r>
              <w:rPr>
                <w:rFonts w:eastAsia="宋体"/>
                <w:b w:val="0"/>
                <w:bCs/>
                <w:i w:val="0"/>
                <w:iCs w:val="0"/>
                <w:kern w:val="2"/>
                <w:sz w:val="18"/>
                <w:lang w:eastAsia="en-GB"/>
              </w:rPr>
              <w:t>Location based CHO</w:t>
            </w:r>
            <w:r>
              <w:rPr>
                <w:rFonts w:hint="eastAsia" w:eastAsia="宋体"/>
                <w:b w:val="0"/>
                <w:bCs/>
                <w:i w:val="0"/>
                <w:iCs w:val="0"/>
                <w:kern w:val="2"/>
                <w:sz w:val="18"/>
              </w:rPr>
              <w:t>]</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rPr>
                <w:rFonts w:hint="eastAsia" w:ascii="Times New Roman" w:hAnsi="Times New Roman" w:eastAsia="宋体" w:cs="Times New Roman"/>
                <w:b w:val="0"/>
                <w:bCs/>
                <w:i w:val="0"/>
                <w:iCs w:val="0"/>
                <w:kern w:val="2"/>
                <w:sz w:val="18"/>
                <w:szCs w:val="24"/>
                <w:lang w:val="en-US" w:eastAsia="en-US" w:bidi="ar-SA"/>
              </w:rPr>
            </w:pPr>
            <w:r>
              <w:rPr>
                <w:rFonts w:hint="eastAsia" w:eastAsia="宋体"/>
                <w:b w:val="0"/>
                <w:bCs/>
                <w:i w:val="0"/>
                <w:iCs w:val="0"/>
                <w:kern w:val="2"/>
                <w:sz w:val="18"/>
              </w:rPr>
              <w:t>TBD</w:t>
            </w:r>
          </w:p>
        </w:tc>
        <w:tc>
          <w:tcPr>
            <w:tcW w:w="96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MeasAndMobParametersCommon</w:t>
            </w:r>
          </w:p>
        </w:tc>
        <w:tc>
          <w:tcPr>
            <w:tcW w:w="81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highlight w:val="yellow"/>
                <w:lang w:val="en-US" w:eastAsia="en-GB" w:bidi="ar-SA"/>
              </w:rPr>
            </w:pPr>
            <w:r>
              <w:rPr>
                <w:rFonts w:eastAsia="宋体"/>
                <w:b w:val="0"/>
                <w:bCs/>
                <w:i w:val="0"/>
                <w:iCs w:val="0"/>
                <w:kern w:val="2"/>
                <w:sz w:val="18"/>
                <w:highlight w:val="yellow"/>
                <w:lang w:eastAsia="en-GB"/>
              </w:rPr>
              <w:t>SR triggered by a TA report</w:t>
            </w:r>
          </w:p>
        </w:tc>
        <w:tc>
          <w:tcPr>
            <w:tcW w:w="2142"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 xml:space="preserve">Indicates whether the UE supports triggering of SR when a TA report is triggered and there are no available UL-SCH resources. </w:t>
            </w:r>
          </w:p>
        </w:tc>
        <w:tc>
          <w:tcPr>
            <w:tcW w:w="1071"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val="0"/>
                <w:bCs/>
                <w:i w:val="0"/>
                <w:iCs w:val="0"/>
                <w:kern w:val="2"/>
                <w:sz w:val="18"/>
                <w:szCs w:val="24"/>
                <w:lang w:val="en-US" w:eastAsia="en-GB" w:bidi="ar-SA"/>
              </w:rPr>
            </w:pPr>
          </w:p>
        </w:tc>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val="0"/>
                <w:bCs/>
                <w:i w:val="0"/>
                <w:iCs w:val="0"/>
                <w:kern w:val="2"/>
                <w:sz w:val="18"/>
                <w:szCs w:val="24"/>
                <w:lang w:val="en-US" w:eastAsia="en-GB" w:bidi="ar-SA"/>
              </w:rPr>
            </w:pPr>
            <w:r>
              <w:rPr>
                <w:rFonts w:hint="eastAsia" w:eastAsia="宋体"/>
                <w:b w:val="0"/>
                <w:bCs/>
                <w:i w:val="0"/>
                <w:iCs w:val="0"/>
                <w:kern w:val="2"/>
                <w:sz w:val="18"/>
              </w:rPr>
              <w:t>TBD</w:t>
            </w:r>
          </w:p>
        </w:tc>
        <w:tc>
          <w:tcPr>
            <w:tcW w:w="96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GB" w:bidi="ar-SA"/>
              </w:rPr>
            </w:pPr>
            <w:r>
              <w:rPr>
                <w:rFonts w:eastAsia="宋体"/>
                <w:b w:val="0"/>
                <w:bCs/>
                <w:i w:val="0"/>
                <w:iCs w:val="0"/>
                <w:kern w:val="2"/>
                <w:sz w:val="18"/>
                <w:lang w:eastAsia="en-GB"/>
              </w:rPr>
              <w:t>MAC-ParametersCommon</w:t>
            </w:r>
          </w:p>
        </w:tc>
        <w:tc>
          <w:tcPr>
            <w:tcW w:w="81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highlight w:val="yellow"/>
                <w:lang w:val="en-US" w:eastAsia="en-GB" w:bidi="ar-SA"/>
              </w:rPr>
            </w:pPr>
            <w:r>
              <w:rPr>
                <w:rFonts w:eastAsia="宋体"/>
                <w:b w:val="0"/>
                <w:bCs/>
                <w:i w:val="0"/>
                <w:iCs w:val="0"/>
                <w:kern w:val="2"/>
                <w:sz w:val="18"/>
                <w:highlight w:val="yellow"/>
                <w:lang w:eastAsia="en-GB"/>
              </w:rPr>
              <w:t>TA reporting during initial access</w:t>
            </w:r>
          </w:p>
        </w:tc>
        <w:tc>
          <w:tcPr>
            <w:tcW w:w="2142"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GB"/>
              </w:rPr>
              <w:t xml:space="preserve">It is mandatory to support TA reporting during initial access for UEs supporting </w:t>
            </w:r>
            <w:r>
              <w:rPr>
                <w:rFonts w:hint="eastAsia" w:eastAsia="宋体"/>
                <w:b w:val="0"/>
                <w:bCs/>
                <w:i w:val="0"/>
                <w:iCs w:val="0"/>
                <w:kern w:val="2"/>
                <w:sz w:val="18"/>
                <w:lang w:val="en-US" w:eastAsia="zh-CN"/>
              </w:rPr>
              <w:t>[</w:t>
            </w:r>
            <w:r>
              <w:rPr>
                <w:rFonts w:eastAsia="宋体"/>
                <w:b w:val="0"/>
                <w:bCs/>
                <w:i w:val="0"/>
                <w:iCs w:val="0"/>
                <w:kern w:val="2"/>
                <w:sz w:val="18"/>
                <w:lang w:eastAsia="en-GB"/>
              </w:rPr>
              <w:t>uplink-TA-Reporting-r17</w:t>
            </w:r>
            <w:r>
              <w:rPr>
                <w:rFonts w:hint="eastAsia" w:eastAsia="宋体"/>
                <w:b w:val="0"/>
                <w:bCs/>
                <w:i w:val="0"/>
                <w:iCs w:val="0"/>
                <w:kern w:val="2"/>
                <w:sz w:val="18"/>
                <w:lang w:val="en-US" w:eastAsia="zh-CN"/>
              </w:rPr>
              <w:t>]</w:t>
            </w:r>
            <w:r>
              <w:rPr>
                <w:rFonts w:eastAsia="宋体"/>
                <w:b w:val="0"/>
                <w:bCs/>
                <w:i w:val="0"/>
                <w:iCs w:val="0"/>
                <w:kern w:val="2"/>
                <w:sz w:val="18"/>
                <w:lang w:eastAsia="en-GB"/>
              </w:rPr>
              <w:t xml:space="preserve"> as specified in TS 38.321 [10].</w:t>
            </w:r>
          </w:p>
        </w:tc>
        <w:tc>
          <w:tcPr>
            <w:tcW w:w="1071"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val="0"/>
                <w:bCs/>
                <w:i w:val="0"/>
                <w:iCs w:val="0"/>
                <w:kern w:val="2"/>
                <w:sz w:val="18"/>
                <w:szCs w:val="24"/>
                <w:lang w:val="en-US" w:eastAsia="en-US" w:bidi="ar-SA"/>
              </w:rPr>
            </w:pPr>
          </w:p>
        </w:tc>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n/a</w:t>
            </w:r>
          </w:p>
        </w:tc>
        <w:tc>
          <w:tcPr>
            <w:tcW w:w="96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n/a</w:t>
            </w:r>
          </w:p>
        </w:tc>
        <w:tc>
          <w:tcPr>
            <w:tcW w:w="81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n/a</w:t>
            </w:r>
          </w:p>
        </w:tc>
        <w:tc>
          <w:tcPr>
            <w:tcW w:w="76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n/a</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Conditional mandatory without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vAlign w:val="top"/>
          </w:tcPr>
          <w:p>
            <w:pPr>
              <w:keepNext/>
              <w:keepLines/>
              <w:rPr>
                <w:rFonts w:ascii="Times New Roman" w:hAnsi="Times New Roman" w:eastAsia="宋体" w:cs="Times New Roman"/>
                <w:b w:val="0"/>
                <w:bCs/>
                <w:i w:val="0"/>
                <w:iCs w:val="0"/>
                <w:kern w:val="2"/>
                <w:sz w:val="18"/>
                <w:szCs w:val="24"/>
                <w:lang w:val="en-US" w:eastAsia="en-GB" w:bidi="ar-SA"/>
              </w:rPr>
            </w:pPr>
            <w:r>
              <w:rPr>
                <w:rFonts w:eastAsia="宋体"/>
                <w:b w:val="0"/>
                <w:bCs/>
                <w:i w:val="0"/>
                <w:iCs w:val="0"/>
                <w:kern w:val="2"/>
                <w:sz w:val="18"/>
                <w:highlight w:val="yellow"/>
                <w:lang w:eastAsia="en-GB"/>
              </w:rPr>
              <w:t>Enhanced RRM requirements for measurements in IDLE and INACTIVE modes</w:t>
            </w:r>
          </w:p>
        </w:tc>
        <w:tc>
          <w:tcPr>
            <w:tcW w:w="2142" w:type="dxa"/>
            <w:vAlign w:val="top"/>
          </w:tcPr>
          <w:p>
            <w:pPr>
              <w:keepNext/>
              <w:keepLines/>
              <w:rPr>
                <w:rFonts w:ascii="Times New Roman" w:hAnsi="Times New Roman" w:eastAsia="宋体" w:cs="Times New Roman"/>
                <w:b w:val="0"/>
                <w:bCs/>
                <w:i w:val="0"/>
                <w:iCs w:val="0"/>
                <w:kern w:val="2"/>
                <w:sz w:val="18"/>
                <w:szCs w:val="24"/>
                <w:lang w:val="en-US" w:eastAsia="en-GB" w:bidi="ar-SA"/>
              </w:rPr>
            </w:pPr>
            <w:r>
              <w:rPr>
                <w:rFonts w:hint="eastAsia" w:eastAsia="宋体"/>
                <w:b w:val="0"/>
                <w:bCs/>
                <w:i w:val="0"/>
                <w:iCs w:val="0"/>
                <w:kern w:val="2"/>
                <w:sz w:val="18"/>
                <w:lang w:eastAsia="en-GB"/>
              </w:rPr>
              <w:t>Indicate the support of enhanced inter-frequency cell re-selection requirements for ATG (as specific in TS 38.133 Table 4.2D.2.4-2)</w:t>
            </w:r>
          </w:p>
        </w:tc>
        <w:tc>
          <w:tcPr>
            <w:tcW w:w="1071" w:type="dxa"/>
            <w:vAlign w:val="top"/>
          </w:tcPr>
          <w:p>
            <w:pPr>
              <w:keepNext/>
              <w:keepLines/>
              <w:rPr>
                <w:rFonts w:hint="eastAsia" w:ascii="Times New Roman" w:hAnsi="Times New Roman" w:eastAsia="宋体" w:cs="Times New Roman"/>
                <w:b w:val="0"/>
                <w:bCs/>
                <w:i w:val="0"/>
                <w:iCs w:val="0"/>
                <w:kern w:val="2"/>
                <w:sz w:val="18"/>
                <w:szCs w:val="24"/>
                <w:lang w:val="en-US" w:eastAsia="en-US" w:bidi="ar-SA"/>
              </w:rPr>
            </w:pPr>
          </w:p>
        </w:tc>
        <w:tc>
          <w:tcPr>
            <w:tcW w:w="876" w:type="dxa"/>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GB"/>
              </w:rPr>
              <w:t>n/a</w:t>
            </w:r>
          </w:p>
        </w:tc>
        <w:tc>
          <w:tcPr>
            <w:tcW w:w="960" w:type="dxa"/>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GB"/>
              </w:rPr>
              <w:t>n/a</w:t>
            </w:r>
          </w:p>
        </w:tc>
        <w:tc>
          <w:tcPr>
            <w:tcW w:w="813" w:type="dxa"/>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766" w:type="dxa"/>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951" w:type="dxa"/>
            <w:vAlign w:val="top"/>
          </w:tcPr>
          <w:p>
            <w:pPr>
              <w:keepNext/>
              <w:keepLines/>
              <w:rPr>
                <w:rFonts w:ascii="Times New Roman" w:hAnsi="Times New Roman" w:eastAsia="宋体" w:cs="Times New Roman"/>
                <w:b w:val="0"/>
                <w:bCs/>
                <w:i w:val="0"/>
                <w:iCs w:val="0"/>
                <w:kern w:val="2"/>
                <w:sz w:val="18"/>
                <w:szCs w:val="24"/>
                <w:lang w:val="en-US" w:eastAsia="en-US" w:bidi="ar-SA"/>
              </w:rPr>
            </w:pPr>
          </w:p>
        </w:tc>
        <w:tc>
          <w:tcPr>
            <w:tcW w:w="1015" w:type="dxa"/>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GB"/>
              </w:rPr>
              <w:t>Optional without capability signaling</w:t>
            </w:r>
          </w:p>
        </w:tc>
      </w:tr>
    </w:tbl>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We provide our views on these suspending UE features.</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For the </w:t>
      </w:r>
      <w:r>
        <w:rPr>
          <w:rFonts w:hint="default" w:eastAsia="宋体"/>
          <w:color w:val="auto"/>
          <w:sz w:val="20"/>
          <w:szCs w:val="20"/>
          <w:lang w:val="en-US" w:eastAsia="zh-CN"/>
        </w:rPr>
        <w:t>‘</w:t>
      </w:r>
      <w:r>
        <w:rPr>
          <w:rFonts w:hint="eastAsia" w:eastAsia="宋体"/>
          <w:color w:val="auto"/>
          <w:sz w:val="20"/>
          <w:szCs w:val="20"/>
          <w:lang w:val="en-US" w:eastAsia="zh-CN"/>
        </w:rPr>
        <w:t>Event A4 based CHO</w:t>
      </w:r>
      <w:r>
        <w:rPr>
          <w:rFonts w:hint="default" w:eastAsia="宋体"/>
          <w:color w:val="auto"/>
          <w:sz w:val="20"/>
          <w:szCs w:val="20"/>
          <w:lang w:val="en-US" w:eastAsia="zh-CN"/>
        </w:rPr>
        <w:t>’</w:t>
      </w:r>
      <w:r>
        <w:rPr>
          <w:rFonts w:hint="eastAsia" w:eastAsia="宋体"/>
          <w:color w:val="auto"/>
          <w:sz w:val="20"/>
          <w:szCs w:val="20"/>
          <w:lang w:val="en-US" w:eastAsia="zh-CN"/>
        </w:rPr>
        <w:t xml:space="preserve">, actually during R18 ATG discussion, RAN4 does not touch this issue. In legacy TN deployment, Event A4 can not be used in CHO. While in R17 NTN, condEvent D1/T1+Event A4 is one alternative to be used in CHO, with the corresponding UE capability introduced. </w:t>
      </w:r>
    </w:p>
    <w:p>
      <w:pPr>
        <w:pStyle w:val="1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In Event A4, only the signal quality from neighbour cell is verified, not referring to anything of the current PCell, it is a bit risky to allow the handover under such case, while considering the location condition D1 or time condition T1 can guarantee the target cell</w:t>
      </w:r>
      <w:r>
        <w:rPr>
          <w:rFonts w:hint="default" w:eastAsia="宋体"/>
          <w:color w:val="auto"/>
          <w:sz w:val="20"/>
          <w:szCs w:val="20"/>
          <w:lang w:val="en-US" w:eastAsia="zh-CN"/>
        </w:rPr>
        <w:t>’</w:t>
      </w:r>
      <w:r>
        <w:rPr>
          <w:rFonts w:hint="eastAsia" w:eastAsia="宋体"/>
          <w:color w:val="auto"/>
          <w:sz w:val="20"/>
          <w:szCs w:val="20"/>
          <w:lang w:val="en-US" w:eastAsia="zh-CN"/>
        </w:rPr>
        <w:t>s coverage in general, so on top of condEvent D1/T1, Event A4 is also considered. Following this logic, we believe same story can happen in R18 ATG, so this R17 NTN UE feature can be reused in R18 ATG.</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Regarding the </w:t>
      </w:r>
      <w:r>
        <w:rPr>
          <w:rFonts w:hint="default" w:eastAsia="宋体"/>
          <w:color w:val="auto"/>
          <w:sz w:val="20"/>
          <w:szCs w:val="20"/>
          <w:lang w:val="en-US" w:eastAsia="zh-CN"/>
        </w:rPr>
        <w:t>‘Location-based measurement report trigger’</w:t>
      </w:r>
      <w:r>
        <w:rPr>
          <w:rFonts w:hint="eastAsia" w:eastAsia="宋体"/>
          <w:color w:val="auto"/>
          <w:sz w:val="20"/>
          <w:szCs w:val="20"/>
          <w:lang w:val="en-US" w:eastAsia="zh-CN"/>
        </w:rPr>
        <w:t xml:space="preserve">, considering only location based CHO is allowed in R18 ATG, instead of both location based and time based CHO allowed in R17 NTN, so to our understanding, not need this feature any more. Once UE supporting </w:t>
      </w:r>
      <w:r>
        <w:rPr>
          <w:rFonts w:hint="default" w:eastAsia="宋体"/>
          <w:color w:val="auto"/>
          <w:sz w:val="20"/>
          <w:szCs w:val="20"/>
          <w:lang w:val="en-US" w:eastAsia="zh-CN"/>
        </w:rPr>
        <w:t>‘</w:t>
      </w:r>
      <w:r>
        <w:rPr>
          <w:rFonts w:hint="eastAsia" w:eastAsia="宋体"/>
          <w:color w:val="auto"/>
          <w:sz w:val="20"/>
          <w:szCs w:val="20"/>
          <w:lang w:val="en-US" w:eastAsia="zh-CN"/>
        </w:rPr>
        <w:t>Location based CHO</w:t>
      </w:r>
      <w:r>
        <w:rPr>
          <w:rFonts w:hint="default" w:eastAsia="宋体"/>
          <w:color w:val="auto"/>
          <w:sz w:val="20"/>
          <w:szCs w:val="20"/>
          <w:lang w:val="en-US" w:eastAsia="zh-CN"/>
        </w:rPr>
        <w:t>’</w:t>
      </w:r>
      <w:r>
        <w:rPr>
          <w:rFonts w:hint="eastAsia" w:eastAsia="宋体"/>
          <w:color w:val="auto"/>
          <w:sz w:val="20"/>
          <w:szCs w:val="20"/>
          <w:lang w:val="en-US" w:eastAsia="zh-CN"/>
        </w:rPr>
        <w:t>, of cource this UE should support condEvent D1, not need additional UE feature.</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For the </w:t>
      </w:r>
      <w:r>
        <w:rPr>
          <w:rFonts w:hint="default" w:eastAsia="宋体"/>
          <w:color w:val="auto"/>
          <w:sz w:val="20"/>
          <w:szCs w:val="20"/>
          <w:lang w:val="en-US" w:eastAsia="zh-CN"/>
        </w:rPr>
        <w:t>‘SR triggered by a TA report’</w:t>
      </w:r>
      <w:r>
        <w:rPr>
          <w:rFonts w:hint="eastAsia" w:eastAsia="宋体"/>
          <w:color w:val="auto"/>
          <w:sz w:val="20"/>
          <w:szCs w:val="20"/>
          <w:lang w:val="en-US" w:eastAsia="zh-CN"/>
        </w:rPr>
        <w:t>, this feature is not touched any more in R18 ATG. In R17 NTN, this feature aims to assist UE to feedback TA reporting even no UL traffic demand. It seems that we can not see the obvious necessity, it is preferred by us to ignore this feature.</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For the </w:t>
      </w:r>
      <w:r>
        <w:rPr>
          <w:rFonts w:hint="default" w:eastAsia="宋体"/>
          <w:color w:val="auto"/>
          <w:sz w:val="20"/>
          <w:szCs w:val="20"/>
          <w:lang w:val="en-US" w:eastAsia="zh-CN"/>
        </w:rPr>
        <w:t>‘TA reporting during initial access’</w:t>
      </w:r>
      <w:r>
        <w:rPr>
          <w:rFonts w:hint="eastAsia" w:eastAsia="宋体"/>
          <w:color w:val="auto"/>
          <w:sz w:val="20"/>
          <w:szCs w:val="20"/>
          <w:lang w:val="en-US" w:eastAsia="zh-CN"/>
        </w:rPr>
        <w:t>, the intention of introducing TA reporting in R18 ATG is to handle the large ISD deployment, so as to avoid the unnecessary slot/symbol waste and improve the resource utilization ratio, TA reporting is deemed to benifit the TDD pattern determination at NW. While to our understanding, the TDD pattern can be determined based on cell range, whether need such optimization based on UE assistent info, it is highly dependent on the actual cell deployment and airline distribution. In general, we can believe when the ATG is during initial access, the airplane just take off, so the cell specific TDD pattern can be determined based on the cell range, no need to determine any UE specific optimization based on the TA reporting. So the TA reporting during initial access is not necessary in ATG scenario.</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 xml:space="preserve">Regarding the </w:t>
      </w:r>
      <w:r>
        <w:rPr>
          <w:rFonts w:hint="default" w:eastAsia="宋体"/>
          <w:color w:val="auto"/>
          <w:sz w:val="20"/>
          <w:szCs w:val="20"/>
          <w:lang w:val="en-US" w:eastAsia="zh-CN"/>
        </w:rPr>
        <w:t>‘Enhanced RRM requirements for measurements in IDLE and INACTIVE modes’</w:t>
      </w:r>
      <w:r>
        <w:rPr>
          <w:rFonts w:hint="eastAsia" w:eastAsia="宋体"/>
          <w:color w:val="auto"/>
          <w:sz w:val="20"/>
          <w:szCs w:val="20"/>
          <w:lang w:val="en-US" w:eastAsia="zh-CN"/>
        </w:rPr>
        <w:t>, we list all the related agreements reached in previous RAN4 meeting:</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autoSpaceDE w:val="0"/>
              <w:autoSpaceDN w:val="0"/>
              <w:adjustRightInd w:val="0"/>
              <w:spacing w:after="0" w:line="240" w:lineRule="auto"/>
              <w:rPr>
                <w:rFonts w:eastAsiaTheme="minorEastAsia"/>
                <w:b/>
                <w:bCs/>
                <w:iCs/>
                <w:sz w:val="21"/>
                <w:szCs w:val="21"/>
              </w:rPr>
            </w:pPr>
            <w:r>
              <w:rPr>
                <w:rFonts w:eastAsiaTheme="minorEastAsia"/>
                <w:b/>
                <w:bCs/>
                <w:iCs/>
                <w:sz w:val="21"/>
                <w:szCs w:val="21"/>
                <w:highlight w:val="green"/>
              </w:rPr>
              <w:t>A</w:t>
            </w:r>
            <w:r>
              <w:rPr>
                <w:rFonts w:hint="eastAsia" w:eastAsiaTheme="minorEastAsia"/>
                <w:b/>
                <w:bCs/>
                <w:iCs/>
                <w:sz w:val="21"/>
                <w:szCs w:val="21"/>
                <w:highlight w:val="green"/>
              </w:rPr>
              <w:t>greeme</w:t>
            </w:r>
            <w:r>
              <w:rPr>
                <w:rFonts w:eastAsiaTheme="minorEastAsia"/>
                <w:b/>
                <w:bCs/>
                <w:iCs/>
                <w:sz w:val="21"/>
                <w:szCs w:val="21"/>
                <w:highlight w:val="green"/>
              </w:rPr>
              <w:t>nts</w:t>
            </w:r>
            <w:r>
              <w:rPr>
                <w:rFonts w:eastAsiaTheme="minorEastAsia"/>
                <w:b/>
                <w:bCs/>
                <w:iCs/>
                <w:sz w:val="21"/>
                <w:szCs w:val="21"/>
              </w:rPr>
              <w:t>:</w:t>
            </w:r>
          </w:p>
          <w:p>
            <w:pPr>
              <w:pStyle w:val="30"/>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hanging="363" w:firstLineChars="0"/>
              <w:textAlignment w:val="auto"/>
              <w:rPr>
                <w:iCs/>
                <w:sz w:val="18"/>
                <w:szCs w:val="20"/>
              </w:rPr>
            </w:pPr>
            <w:r>
              <w:rPr>
                <w:iCs/>
                <w:sz w:val="21"/>
                <w:szCs w:val="21"/>
              </w:rPr>
              <w:t>Keep previous agreements for number of carriers to be monitored.</w:t>
            </w:r>
          </w:p>
          <w:p>
            <w:pPr>
              <w:pStyle w:val="30"/>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hanging="363" w:firstLineChars="0"/>
              <w:textAlignment w:val="auto"/>
              <w:rPr>
                <w:iCs/>
                <w:sz w:val="21"/>
                <w:szCs w:val="21"/>
              </w:rPr>
            </w:pPr>
            <w:r>
              <w:rPr>
                <w:iCs/>
                <w:sz w:val="21"/>
                <w:szCs w:val="21"/>
              </w:rPr>
              <w:t>For intra-frequency measurement, apply legacy R15 cell-reselection requirement</w:t>
            </w:r>
          </w:p>
          <w:p>
            <w:pPr>
              <w:pStyle w:val="30"/>
              <w:keepNext w:val="0"/>
              <w:keepLines w:val="0"/>
              <w:pageBreakBefore w:val="0"/>
              <w:widowControl w:val="0"/>
              <w:numPr>
                <w:ilvl w:val="0"/>
                <w:numId w:val="4"/>
              </w:numPr>
              <w:kinsoku/>
              <w:wordWrap/>
              <w:overflowPunct/>
              <w:topLinePunct w:val="0"/>
              <w:autoSpaceDE w:val="0"/>
              <w:autoSpaceDN w:val="0"/>
              <w:bidi w:val="0"/>
              <w:adjustRightInd w:val="0"/>
              <w:snapToGrid/>
              <w:spacing w:line="240" w:lineRule="auto"/>
              <w:ind w:hanging="363" w:firstLineChars="0"/>
              <w:textAlignment w:val="auto"/>
              <w:rPr>
                <w:iCs/>
                <w:strike/>
                <w:sz w:val="21"/>
                <w:szCs w:val="21"/>
              </w:rPr>
            </w:pPr>
            <w:r>
              <w:rPr>
                <w:iCs/>
                <w:sz w:val="21"/>
                <w:szCs w:val="21"/>
              </w:rPr>
              <w:t>For inter-frequency measurement,</w:t>
            </w:r>
          </w:p>
          <w:p>
            <w:pPr>
              <w:pStyle w:val="30"/>
              <w:keepNext w:val="0"/>
              <w:keepLines w:val="0"/>
              <w:pageBreakBefore w:val="0"/>
              <w:widowControl w:val="0"/>
              <w:numPr>
                <w:ilvl w:val="1"/>
                <w:numId w:val="5"/>
              </w:numPr>
              <w:kinsoku/>
              <w:wordWrap/>
              <w:overflowPunct/>
              <w:topLinePunct w:val="0"/>
              <w:autoSpaceDE w:val="0"/>
              <w:autoSpaceDN w:val="0"/>
              <w:bidi w:val="0"/>
              <w:adjustRightInd w:val="0"/>
              <w:snapToGrid/>
              <w:spacing w:line="240" w:lineRule="auto"/>
              <w:ind w:hanging="363" w:firstLineChars="0"/>
              <w:textAlignment w:val="auto"/>
              <w:rPr>
                <w:rFonts w:eastAsia="宋体"/>
                <w:iCs/>
                <w:sz w:val="21"/>
                <w:szCs w:val="21"/>
              </w:rPr>
            </w:pPr>
            <w:r>
              <w:rPr>
                <w:rFonts w:eastAsia="宋体"/>
                <w:iCs/>
                <w:sz w:val="21"/>
                <w:szCs w:val="21"/>
              </w:rPr>
              <w:t xml:space="preserve">Define two set of requirements for ATG </w:t>
            </w:r>
          </w:p>
          <w:p>
            <w:pPr>
              <w:pStyle w:val="30"/>
              <w:keepNext w:val="0"/>
              <w:keepLines w:val="0"/>
              <w:pageBreakBefore w:val="0"/>
              <w:widowControl w:val="0"/>
              <w:numPr>
                <w:ilvl w:val="2"/>
                <w:numId w:val="5"/>
              </w:numPr>
              <w:kinsoku/>
              <w:wordWrap/>
              <w:overflowPunct/>
              <w:topLinePunct w:val="0"/>
              <w:autoSpaceDE w:val="0"/>
              <w:autoSpaceDN w:val="0"/>
              <w:bidi w:val="0"/>
              <w:adjustRightInd w:val="0"/>
              <w:snapToGrid/>
              <w:spacing w:line="240" w:lineRule="auto"/>
              <w:ind w:hanging="363" w:firstLineChars="0"/>
              <w:textAlignment w:val="auto"/>
              <w:rPr>
                <w:rFonts w:eastAsia="宋体"/>
                <w:iCs/>
                <w:sz w:val="21"/>
                <w:szCs w:val="21"/>
              </w:rPr>
            </w:pPr>
            <w:r>
              <w:rPr>
                <w:rFonts w:eastAsia="宋体"/>
                <w:iCs/>
                <w:sz w:val="21"/>
                <w:szCs w:val="21"/>
              </w:rPr>
              <w:t xml:space="preserve">Set 1: legacy R15 cell-reselection requirement </w:t>
            </w:r>
          </w:p>
          <w:p>
            <w:pPr>
              <w:pStyle w:val="30"/>
              <w:keepNext w:val="0"/>
              <w:keepLines w:val="0"/>
              <w:pageBreakBefore w:val="0"/>
              <w:widowControl w:val="0"/>
              <w:numPr>
                <w:ilvl w:val="2"/>
                <w:numId w:val="5"/>
              </w:numPr>
              <w:kinsoku/>
              <w:wordWrap/>
              <w:overflowPunct/>
              <w:topLinePunct w:val="0"/>
              <w:autoSpaceDE w:val="0"/>
              <w:autoSpaceDN w:val="0"/>
              <w:bidi w:val="0"/>
              <w:adjustRightInd w:val="0"/>
              <w:snapToGrid/>
              <w:spacing w:line="240" w:lineRule="auto"/>
              <w:ind w:hanging="363" w:firstLineChars="0"/>
              <w:textAlignment w:val="auto"/>
              <w:rPr>
                <w:rFonts w:eastAsia="宋体"/>
                <w:iCs/>
                <w:sz w:val="21"/>
                <w:szCs w:val="21"/>
              </w:rPr>
            </w:pPr>
            <w:r>
              <w:rPr>
                <w:rFonts w:eastAsia="宋体"/>
                <w:iCs/>
                <w:sz w:val="21"/>
                <w:szCs w:val="21"/>
              </w:rPr>
              <w:t>Set 2: R16 HST cell-reselection requirement</w:t>
            </w:r>
          </w:p>
          <w:p>
            <w:pPr>
              <w:pStyle w:val="30"/>
              <w:keepNext w:val="0"/>
              <w:keepLines w:val="0"/>
              <w:pageBreakBefore w:val="0"/>
              <w:widowControl w:val="0"/>
              <w:numPr>
                <w:ilvl w:val="2"/>
                <w:numId w:val="5"/>
              </w:numPr>
              <w:kinsoku/>
              <w:wordWrap/>
              <w:overflowPunct/>
              <w:topLinePunct w:val="0"/>
              <w:autoSpaceDE w:val="0"/>
              <w:autoSpaceDN w:val="0"/>
              <w:bidi w:val="0"/>
              <w:adjustRightInd w:val="0"/>
              <w:snapToGrid/>
              <w:spacing w:line="240" w:lineRule="auto"/>
              <w:ind w:hanging="363" w:firstLineChars="0"/>
              <w:textAlignment w:val="auto"/>
              <w:rPr>
                <w:rFonts w:eastAsia="宋体"/>
                <w:sz w:val="20"/>
                <w:szCs w:val="20"/>
              </w:rPr>
            </w:pPr>
            <w:r>
              <w:rPr>
                <w:rFonts w:eastAsia="宋体"/>
                <w:iCs/>
                <w:sz w:val="21"/>
                <w:szCs w:val="21"/>
              </w:rPr>
              <w:t>Details of signalling, associated UE capabilities and how to switch between the two sets of requirements are FFS</w:t>
            </w:r>
          </w:p>
          <w:p>
            <w:pPr>
              <w:pStyle w:val="30"/>
              <w:keepNext w:val="0"/>
              <w:keepLines w:val="0"/>
              <w:pageBreakBefore w:val="0"/>
              <w:widowControl w:val="0"/>
              <w:numPr>
                <w:ilvl w:val="2"/>
                <w:numId w:val="5"/>
              </w:numPr>
              <w:kinsoku/>
              <w:wordWrap/>
              <w:overflowPunct/>
              <w:topLinePunct w:val="0"/>
              <w:autoSpaceDE w:val="0"/>
              <w:autoSpaceDN w:val="0"/>
              <w:bidi w:val="0"/>
              <w:adjustRightInd w:val="0"/>
              <w:snapToGrid/>
              <w:spacing w:line="240" w:lineRule="auto"/>
              <w:ind w:hanging="363" w:firstLineChars="0"/>
              <w:textAlignment w:val="auto"/>
              <w:rPr>
                <w:rFonts w:eastAsia="宋体"/>
                <w:sz w:val="20"/>
                <w:szCs w:val="20"/>
              </w:rPr>
            </w:pPr>
            <w:r>
              <w:rPr>
                <w:rFonts w:eastAsia="宋体"/>
                <w:iCs/>
                <w:sz w:val="21"/>
                <w:szCs w:val="21"/>
              </w:rPr>
              <w:t>For set 2,</w:t>
            </w:r>
            <w:r>
              <w:rPr>
                <w:rFonts w:eastAsia="宋体"/>
                <w:iCs/>
                <w:strike w:val="0"/>
                <w:dstrike w:val="0"/>
                <w:sz w:val="21"/>
                <w:szCs w:val="21"/>
              </w:rPr>
              <w:t xml:space="preserve"> FFS whether to use only R17 HST cell detection delays or measurement and evaluation delays as well.</w:t>
            </w:r>
            <w:r>
              <w:rPr>
                <w:rFonts w:eastAsia="宋体"/>
                <w:iCs/>
                <w:sz w:val="21"/>
                <w:szCs w:val="21"/>
              </w:rPr>
              <w:t xml:space="preserve"> </w:t>
            </w:r>
          </w:p>
          <w:p>
            <w:pPr>
              <w:autoSpaceDE w:val="0"/>
              <w:autoSpaceDN w:val="0"/>
              <w:adjustRightInd w:val="0"/>
              <w:spacing w:after="0" w:line="240" w:lineRule="auto"/>
              <w:rPr>
                <w:rFonts w:eastAsiaTheme="minorEastAsia"/>
                <w:b/>
                <w:bCs/>
                <w:iCs/>
                <w:sz w:val="21"/>
                <w:szCs w:val="21"/>
              </w:rPr>
            </w:pPr>
            <w:r>
              <w:rPr>
                <w:rFonts w:eastAsiaTheme="minorEastAsia"/>
                <w:b/>
                <w:bCs/>
                <w:iCs/>
                <w:sz w:val="21"/>
                <w:szCs w:val="21"/>
                <w:highlight w:val="green"/>
              </w:rPr>
              <w:t>A</w:t>
            </w:r>
            <w:r>
              <w:rPr>
                <w:rFonts w:hint="eastAsia" w:eastAsiaTheme="minorEastAsia"/>
                <w:b/>
                <w:bCs/>
                <w:iCs/>
                <w:sz w:val="21"/>
                <w:szCs w:val="21"/>
                <w:highlight w:val="green"/>
              </w:rPr>
              <w:t>greeme</w:t>
            </w:r>
            <w:r>
              <w:rPr>
                <w:rFonts w:eastAsiaTheme="minorEastAsia"/>
                <w:b/>
                <w:bCs/>
                <w:iCs/>
                <w:sz w:val="21"/>
                <w:szCs w:val="21"/>
                <w:highlight w:val="green"/>
              </w:rPr>
              <w:t>nts</w:t>
            </w:r>
            <w:r>
              <w:rPr>
                <w:rFonts w:eastAsiaTheme="minorEastAsia"/>
                <w:b/>
                <w:bCs/>
                <w:iCs/>
                <w:sz w:val="21"/>
                <w:szCs w:val="21"/>
              </w:rPr>
              <w:t>:</w:t>
            </w:r>
          </w:p>
          <w:p>
            <w:pPr>
              <w:pStyle w:val="30"/>
              <w:numPr>
                <w:ilvl w:val="0"/>
                <w:numId w:val="5"/>
              </w:numPr>
              <w:autoSpaceDE w:val="0"/>
              <w:autoSpaceDN w:val="0"/>
              <w:adjustRightInd w:val="0"/>
              <w:spacing w:after="120" w:line="240" w:lineRule="auto"/>
              <w:ind w:hanging="357" w:firstLineChars="0"/>
              <w:rPr>
                <w:rFonts w:eastAsia="宋体" w:cs="Times New Roman"/>
                <w:sz w:val="20"/>
                <w:szCs w:val="20"/>
              </w:rPr>
            </w:pPr>
            <w:r>
              <w:rPr>
                <w:rFonts w:eastAsia="宋体" w:cs="Times New Roman"/>
                <w:sz w:val="20"/>
                <w:szCs w:val="20"/>
              </w:rPr>
              <w:t>Set 2 applies only to cell detection delays.</w:t>
            </w:r>
          </w:p>
          <w:p>
            <w:pPr>
              <w:autoSpaceDE w:val="0"/>
              <w:autoSpaceDN w:val="0"/>
              <w:adjustRightInd w:val="0"/>
              <w:spacing w:after="60" w:line="240" w:lineRule="auto"/>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pStyle w:val="30"/>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hanging="357" w:firstLineChars="0"/>
              <w:textAlignment w:val="auto"/>
              <w:rPr>
                <w:rFonts w:eastAsia="宋体" w:cs="Times New Roman"/>
                <w:sz w:val="20"/>
                <w:szCs w:val="20"/>
              </w:rPr>
            </w:pPr>
            <w:r>
              <w:rPr>
                <w:rFonts w:eastAsia="宋体" w:cs="Times New Roman"/>
                <w:sz w:val="20"/>
                <w:szCs w:val="20"/>
              </w:rPr>
              <w:t>RAN4 to request RAN2 to define ATG indicator (via system information) which is used to determine which set (set 1 or set 2) of requirements to meet.</w:t>
            </w:r>
          </w:p>
          <w:p>
            <w:pPr>
              <w:pStyle w:val="30"/>
              <w:keepNext w:val="0"/>
              <w:keepLines w:val="0"/>
              <w:pageBreakBefore w:val="0"/>
              <w:widowControl w:val="0"/>
              <w:numPr>
                <w:ilvl w:val="1"/>
                <w:numId w:val="5"/>
              </w:numPr>
              <w:kinsoku/>
              <w:wordWrap/>
              <w:overflowPunct/>
              <w:topLinePunct w:val="0"/>
              <w:autoSpaceDE w:val="0"/>
              <w:autoSpaceDN w:val="0"/>
              <w:bidi w:val="0"/>
              <w:adjustRightInd w:val="0"/>
              <w:snapToGrid/>
              <w:spacing w:line="240" w:lineRule="auto"/>
              <w:ind w:firstLineChars="0"/>
              <w:textAlignment w:val="auto"/>
              <w:rPr>
                <w:rFonts w:eastAsia="宋体" w:cs="Times New Roman"/>
                <w:sz w:val="20"/>
                <w:szCs w:val="20"/>
              </w:rPr>
            </w:pPr>
            <w:r>
              <w:rPr>
                <w:rFonts w:eastAsia="宋体" w:cs="Times New Roman"/>
                <w:sz w:val="20"/>
                <w:szCs w:val="20"/>
              </w:rPr>
              <w:t>UE meets set 2 requirements when ATG indicator is received.</w:t>
            </w:r>
          </w:p>
          <w:p>
            <w:pPr>
              <w:pStyle w:val="30"/>
              <w:keepNext w:val="0"/>
              <w:keepLines w:val="0"/>
              <w:pageBreakBefore w:val="0"/>
              <w:widowControl w:val="0"/>
              <w:numPr>
                <w:ilvl w:val="1"/>
                <w:numId w:val="5"/>
              </w:numPr>
              <w:kinsoku/>
              <w:wordWrap/>
              <w:overflowPunct/>
              <w:topLinePunct w:val="0"/>
              <w:autoSpaceDE w:val="0"/>
              <w:autoSpaceDN w:val="0"/>
              <w:bidi w:val="0"/>
              <w:adjustRightInd w:val="0"/>
              <w:snapToGrid/>
              <w:spacing w:line="240" w:lineRule="auto"/>
              <w:ind w:firstLineChars="0"/>
              <w:textAlignment w:val="auto"/>
              <w:rPr>
                <w:rFonts w:eastAsia="宋体" w:cs="Times New Roman"/>
                <w:sz w:val="20"/>
                <w:szCs w:val="20"/>
              </w:rPr>
            </w:pPr>
            <w:r>
              <w:rPr>
                <w:rFonts w:eastAsia="宋体" w:cs="Times New Roman"/>
                <w:sz w:val="20"/>
                <w:szCs w:val="20"/>
              </w:rPr>
              <w:t>Otherwise, UE meets set 1 requirement.</w:t>
            </w:r>
          </w:p>
          <w:p>
            <w:pPr>
              <w:pStyle w:val="30"/>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hanging="357" w:firstLineChars="0"/>
              <w:textAlignment w:val="auto"/>
              <w:rPr>
                <w:rFonts w:eastAsia="宋体" w:cs="Times New Roman"/>
                <w:sz w:val="20"/>
                <w:szCs w:val="20"/>
              </w:rPr>
            </w:pPr>
            <w:r>
              <w:rPr>
                <w:rFonts w:eastAsia="宋体" w:cs="Times New Roman"/>
                <w:sz w:val="20"/>
                <w:szCs w:val="20"/>
              </w:rPr>
              <w:t xml:space="preserve">For a particular cell, network can indicate </w:t>
            </w:r>
            <w:r>
              <w:rPr>
                <w:rFonts w:hint="eastAsia" w:eastAsia="宋体" w:cs="Times New Roman"/>
                <w:sz w:val="20"/>
                <w:szCs w:val="20"/>
              </w:rPr>
              <w:t>s</w:t>
            </w:r>
            <w:r>
              <w:rPr>
                <w:rFonts w:eastAsia="宋体" w:cs="Times New Roman"/>
                <w:sz w:val="20"/>
                <w:szCs w:val="20"/>
              </w:rPr>
              <w:t>et 1(Legacy R15 cell-reselection requirement) or set 2 (R17 HST cell-reselection requirement) based on</w:t>
            </w:r>
            <w:r>
              <w:rPr>
                <w:rFonts w:hint="eastAsia" w:eastAsia="宋体" w:cs="Times New Roman"/>
                <w:sz w:val="20"/>
                <w:szCs w:val="20"/>
              </w:rPr>
              <w:t xml:space="preserve"> cell configuration, for </w:t>
            </w:r>
            <w:r>
              <w:rPr>
                <w:rFonts w:eastAsia="宋体" w:cs="Times New Roman"/>
                <w:sz w:val="20"/>
                <w:szCs w:val="20"/>
              </w:rPr>
              <w:t>example</w:t>
            </w:r>
            <w:r>
              <w:rPr>
                <w:rFonts w:hint="eastAsia" w:eastAsia="宋体" w:cs="Times New Roman"/>
                <w:sz w:val="20"/>
                <w:szCs w:val="20"/>
              </w:rPr>
              <w:t>,</w:t>
            </w:r>
            <w:r>
              <w:rPr>
                <w:rFonts w:eastAsia="宋体" w:cs="Times New Roman"/>
                <w:sz w:val="20"/>
                <w:szCs w:val="20"/>
              </w:rPr>
              <w:t xml:space="preserve"> the ISD, DRX configuration and so on</w:t>
            </w:r>
            <w:r>
              <w:rPr>
                <w:rFonts w:hint="eastAsia" w:eastAsia="宋体" w:cs="Times New Roman"/>
                <w:sz w:val="20"/>
                <w:szCs w:val="20"/>
              </w:rPr>
              <w:t>, which is up to BS implementation</w:t>
            </w:r>
            <w:r>
              <w:rPr>
                <w:rFonts w:eastAsia="宋体" w:cs="Times New Roman"/>
                <w:sz w:val="20"/>
                <w:szCs w:val="20"/>
              </w:rPr>
              <w:t>.</w:t>
            </w:r>
          </w:p>
          <w:p>
            <w:pPr>
              <w:autoSpaceDE w:val="0"/>
              <w:autoSpaceDN w:val="0"/>
              <w:adjustRightInd w:val="0"/>
              <w:spacing w:after="60" w:line="240" w:lineRule="auto"/>
              <w:rPr>
                <w:rFonts w:eastAsiaTheme="minorEastAsia"/>
                <w:b/>
                <w:bCs/>
                <w:iCs/>
                <w:sz w:val="20"/>
                <w:szCs w:val="20"/>
              </w:rPr>
            </w:pPr>
            <w:r>
              <w:rPr>
                <w:rFonts w:hint="eastAsia" w:eastAsiaTheme="minorEastAsia"/>
                <w:b/>
                <w:bCs/>
                <w:iCs/>
                <w:sz w:val="20"/>
                <w:szCs w:val="20"/>
                <w:highlight w:val="green"/>
              </w:rPr>
              <w:t>Agreement</w:t>
            </w:r>
            <w:r>
              <w:rPr>
                <w:rFonts w:hint="eastAsia" w:eastAsiaTheme="minorEastAsia"/>
                <w:b/>
                <w:bCs/>
                <w:iCs/>
                <w:sz w:val="20"/>
                <w:szCs w:val="20"/>
              </w:rPr>
              <w:t>:</w:t>
            </w:r>
          </w:p>
          <w:p>
            <w:pPr>
              <w:pStyle w:val="30"/>
              <w:numPr>
                <w:ilvl w:val="0"/>
                <w:numId w:val="5"/>
              </w:numPr>
              <w:autoSpaceDE w:val="0"/>
              <w:autoSpaceDN w:val="0"/>
              <w:adjustRightInd w:val="0"/>
              <w:spacing w:after="120" w:line="240" w:lineRule="auto"/>
              <w:ind w:hanging="357" w:firstLineChars="0"/>
              <w:rPr>
                <w:rFonts w:eastAsia="宋体" w:cs="Times New Roman"/>
                <w:sz w:val="20"/>
                <w:szCs w:val="20"/>
              </w:rPr>
            </w:pPr>
            <w:r>
              <w:rPr>
                <w:rFonts w:hint="eastAsia" w:eastAsia="宋体" w:cs="Times New Roman"/>
                <w:sz w:val="20"/>
                <w:szCs w:val="20"/>
              </w:rPr>
              <w:t>Introduce o</w:t>
            </w:r>
            <w:r>
              <w:rPr>
                <w:rFonts w:eastAsia="宋体" w:cs="Times New Roman"/>
                <w:sz w:val="20"/>
                <w:szCs w:val="20"/>
              </w:rPr>
              <w:t xml:space="preserve">ptional UE capability for </w:t>
            </w:r>
            <w:r>
              <w:rPr>
                <w:rFonts w:hint="eastAsia" w:eastAsia="宋体" w:cs="Times New Roman"/>
                <w:sz w:val="20"/>
                <w:szCs w:val="20"/>
              </w:rPr>
              <w:t>supporting set2</w:t>
            </w:r>
            <w:r>
              <w:rPr>
                <w:rFonts w:eastAsia="宋体" w:cs="Times New Roman"/>
                <w:sz w:val="20"/>
                <w:szCs w:val="20"/>
              </w:rPr>
              <w:t xml:space="preserve"> requirements for ATG </w:t>
            </w:r>
          </w:p>
          <w:p>
            <w:pPr>
              <w:spacing w:after="60"/>
              <w:rPr>
                <w:rFonts w:hint="eastAsia" w:eastAsiaTheme="minorEastAsia"/>
                <w:b/>
                <w:bCs/>
                <w:iCs/>
                <w:sz w:val="20"/>
                <w:szCs w:val="20"/>
                <w:highlight w:val="green"/>
              </w:rPr>
            </w:pPr>
            <w:r>
              <w:rPr>
                <w:rFonts w:hint="eastAsia" w:eastAsiaTheme="minorEastAsia"/>
                <w:b/>
                <w:bCs/>
                <w:iCs/>
                <w:sz w:val="20"/>
                <w:szCs w:val="20"/>
                <w:highlight w:val="green"/>
              </w:rPr>
              <w:t>Agreement:</w:t>
            </w:r>
          </w:p>
          <w:p>
            <w:pPr>
              <w:pStyle w:val="30"/>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left="935" w:hanging="357" w:firstLineChars="0"/>
              <w:textAlignment w:val="auto"/>
              <w:rPr>
                <w:rFonts w:hint="eastAsia" w:eastAsia="宋体" w:cs="Times New Roman"/>
                <w:sz w:val="20"/>
                <w:szCs w:val="20"/>
                <w:lang w:val="en-GB"/>
              </w:rPr>
            </w:pPr>
            <w:r>
              <w:rPr>
                <w:rFonts w:hint="eastAsia" w:eastAsia="宋体" w:cs="Times New Roman"/>
                <w:sz w:val="20"/>
                <w:szCs w:val="20"/>
                <w:lang w:val="en-GB"/>
              </w:rPr>
              <w:t>The network indication of set1 or set2 requirements is up to RAN2.</w:t>
            </w:r>
          </w:p>
          <w:p>
            <w:pPr>
              <w:pStyle w:val="30"/>
              <w:keepNext w:val="0"/>
              <w:keepLines w:val="0"/>
              <w:pageBreakBefore w:val="0"/>
              <w:widowControl w:val="0"/>
              <w:numPr>
                <w:ilvl w:val="0"/>
                <w:numId w:val="5"/>
              </w:numPr>
              <w:kinsoku/>
              <w:wordWrap/>
              <w:overflowPunct/>
              <w:topLinePunct w:val="0"/>
              <w:autoSpaceDE w:val="0"/>
              <w:autoSpaceDN w:val="0"/>
              <w:bidi w:val="0"/>
              <w:adjustRightInd w:val="0"/>
              <w:snapToGrid/>
              <w:spacing w:line="240" w:lineRule="auto"/>
              <w:ind w:left="935" w:hanging="357" w:firstLineChars="0"/>
              <w:textAlignment w:val="auto"/>
              <w:rPr>
                <w:rFonts w:hint="default" w:eastAsia="宋体"/>
                <w:color w:val="auto"/>
                <w:sz w:val="20"/>
                <w:szCs w:val="20"/>
                <w:vertAlign w:val="baseline"/>
                <w:lang w:val="en-US" w:eastAsia="zh-CN"/>
              </w:rPr>
            </w:pPr>
            <w:r>
              <w:rPr>
                <w:rFonts w:hint="eastAsia" w:eastAsia="宋体" w:cs="Times New Roman"/>
                <w:sz w:val="20"/>
                <w:szCs w:val="20"/>
                <w:lang w:val="en-GB"/>
              </w:rPr>
              <w:t>UE supporting set2 requirements for ATG is an optional feature without capability signalling.</w:t>
            </w:r>
          </w:p>
        </w:tc>
      </w:tr>
    </w:tbl>
    <w:p>
      <w:pPr>
        <w:pStyle w:val="1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Based on the above agreements, it seems that to define an optional UE feature but without capability signalling is aligned with the approvements. So we are fine with this UE capability.</w:t>
      </w:r>
    </w:p>
    <w:p>
      <w:pPr>
        <w:pStyle w:val="10"/>
        <w:numPr>
          <w:ilvl w:val="0"/>
          <w:numId w:val="0"/>
        </w:numPr>
        <w:ind w:leftChars="0"/>
        <w:jc w:val="both"/>
        <w:rPr>
          <w:rFonts w:hint="default"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Besides the already approved UE features in 109 meeting, the additional UE features of below are needed.</w:t>
      </w:r>
    </w:p>
    <w:tbl>
      <w:tblPr>
        <w:tblStyle w:val="18"/>
        <w:tblW w:w="947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2142"/>
        <w:gridCol w:w="942"/>
        <w:gridCol w:w="876"/>
        <w:gridCol w:w="960"/>
        <w:gridCol w:w="813"/>
        <w:gridCol w:w="766"/>
        <w:gridCol w:w="951"/>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GB"/>
              </w:rPr>
            </w:pPr>
            <w:r>
              <w:rPr>
                <w:rFonts w:eastAsia="宋体"/>
                <w:b/>
                <w:bCs w:val="0"/>
                <w:i w:val="0"/>
                <w:iCs w:val="0"/>
                <w:kern w:val="2"/>
                <w:sz w:val="18"/>
                <w:szCs w:val="18"/>
              </w:rPr>
              <w:t>Feature group</w:t>
            </w:r>
          </w:p>
        </w:tc>
        <w:tc>
          <w:tcPr>
            <w:tcW w:w="2142"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Components</w:t>
            </w:r>
          </w:p>
        </w:tc>
        <w:tc>
          <w:tcPr>
            <w:tcW w:w="942"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Prerequisite feature groups</w:t>
            </w:r>
          </w:p>
        </w:tc>
        <w:tc>
          <w:tcPr>
            <w:tcW w:w="87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 xml:space="preserve">Field name in TS 38.331 </w:t>
            </w:r>
          </w:p>
        </w:tc>
        <w:tc>
          <w:tcPr>
            <w:tcW w:w="96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hint="default" w:eastAsia="宋体"/>
                <w:b/>
                <w:bCs w:val="0"/>
                <w:i w:val="0"/>
                <w:iCs w:val="0"/>
                <w:kern w:val="2"/>
                <w:sz w:val="18"/>
                <w:lang w:val="en-US" w:eastAsia="zh-CN"/>
              </w:rPr>
            </w:pPr>
            <w:r>
              <w:rPr>
                <w:rFonts w:hint="eastAsia" w:eastAsia="宋体"/>
                <w:b/>
                <w:bCs w:val="0"/>
                <w:i w:val="0"/>
                <w:iCs w:val="0"/>
                <w:kern w:val="2"/>
                <w:sz w:val="18"/>
                <w:szCs w:val="18"/>
                <w:lang w:val="en-US" w:eastAsia="zh-CN"/>
              </w:rPr>
              <w:t>Type</w:t>
            </w:r>
          </w:p>
        </w:tc>
        <w:tc>
          <w:tcPr>
            <w:tcW w:w="8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US"/>
              </w:rPr>
            </w:pPr>
            <w:r>
              <w:rPr>
                <w:rFonts w:eastAsia="宋体"/>
                <w:b/>
                <w:bCs w:val="0"/>
                <w:i w:val="0"/>
                <w:iCs w:val="0"/>
                <w:kern w:val="2"/>
                <w:sz w:val="18"/>
                <w:szCs w:val="18"/>
              </w:rPr>
              <w:t>Need of FDD/TDD differentiation</w:t>
            </w:r>
          </w:p>
        </w:tc>
        <w:tc>
          <w:tcPr>
            <w:tcW w:w="76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US"/>
              </w:rPr>
            </w:pPr>
            <w:r>
              <w:rPr>
                <w:rFonts w:eastAsia="宋体"/>
                <w:b/>
                <w:bCs w:val="0"/>
                <w:i w:val="0"/>
                <w:iCs w:val="0"/>
                <w:kern w:val="2"/>
                <w:sz w:val="18"/>
                <w:szCs w:val="18"/>
              </w:rPr>
              <w:t>Need of FR1/FR2 differentiation</w:t>
            </w:r>
          </w:p>
        </w:tc>
        <w:tc>
          <w:tcPr>
            <w:tcW w:w="95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Note</w:t>
            </w:r>
          </w:p>
        </w:tc>
        <w:tc>
          <w:tcPr>
            <w:tcW w:w="101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highlight w:val="none"/>
                <w:lang w:eastAsia="en-GB"/>
              </w:rPr>
            </w:pPr>
            <w:r>
              <w:rPr>
                <w:rFonts w:eastAsia="宋体"/>
                <w:b/>
                <w:bCs w:val="0"/>
                <w:i w:val="0"/>
                <w:iCs w:val="0"/>
                <w:kern w:val="2"/>
                <w:sz w:val="18"/>
                <w:highlight w:val="none"/>
                <w:lang w:eastAsia="en-GB"/>
              </w:rPr>
              <w:t>Event A4 based CHO</w:t>
            </w:r>
          </w:p>
        </w:tc>
        <w:tc>
          <w:tcPr>
            <w:tcW w:w="2142"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Indicates whether the UE supports Event A4 based CHO</w:t>
            </w:r>
          </w:p>
        </w:tc>
        <w:tc>
          <w:tcPr>
            <w:tcW w:w="942"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hint="eastAsia"/>
                <w:b/>
                <w:bCs w:val="0"/>
                <w:color w:val="000000"/>
                <w:sz w:val="18"/>
                <w:szCs w:val="18"/>
              </w:rPr>
              <w:t>1</w:t>
            </w:r>
            <w:r>
              <w:rPr>
                <w:b/>
                <w:bCs w:val="0"/>
                <w:color w:val="000000"/>
                <w:sz w:val="18"/>
                <w:szCs w:val="18"/>
              </w:rPr>
              <w:t>7-3 CHO</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bCs w:val="0"/>
                <w:i w:val="0"/>
                <w:iCs w:val="0"/>
                <w:kern w:val="2"/>
                <w:sz w:val="18"/>
              </w:rPr>
            </w:pPr>
            <w:r>
              <w:rPr>
                <w:rFonts w:hint="eastAsia" w:eastAsia="宋体"/>
                <w:b/>
                <w:bCs w:val="0"/>
                <w:i w:val="0"/>
                <w:iCs w:val="0"/>
                <w:kern w:val="2"/>
                <w:sz w:val="18"/>
              </w:rPr>
              <w:t>TBD</w:t>
            </w:r>
          </w:p>
        </w:tc>
        <w:tc>
          <w:tcPr>
            <w:tcW w:w="960"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BandNR</w:t>
            </w:r>
          </w:p>
        </w:tc>
        <w:tc>
          <w:tcPr>
            <w:tcW w:w="813"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lang w:eastAsia="en-US"/>
              </w:rPr>
            </w:pPr>
            <w:r>
              <w:rPr>
                <w:rFonts w:eastAsia="宋体"/>
                <w:b/>
                <w:bCs w:val="0"/>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lang w:eastAsia="en-US"/>
              </w:rPr>
            </w:pPr>
            <w:r>
              <w:rPr>
                <w:rFonts w:eastAsia="宋体"/>
                <w:b/>
                <w:bCs w:val="0"/>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 xml:space="preserve">UE shall set the capability value consistently for all </w:t>
            </w:r>
            <w:r>
              <w:rPr>
                <w:rFonts w:hint="eastAsia" w:eastAsia="宋体"/>
                <w:b/>
                <w:bCs w:val="0"/>
                <w:i w:val="0"/>
                <w:iCs w:val="0"/>
                <w:kern w:val="2"/>
                <w:sz w:val="18"/>
              </w:rPr>
              <w:t>ATG operating</w:t>
            </w:r>
            <w:r>
              <w:rPr>
                <w:rFonts w:eastAsia="宋体"/>
                <w:b/>
                <w:bCs w:val="0"/>
                <w:i w:val="0"/>
                <w:iCs w:val="0"/>
                <w:kern w:val="2"/>
                <w:sz w:val="18"/>
              </w:rPr>
              <w:t xml:space="preserve"> bands.</w:t>
            </w:r>
          </w:p>
        </w:tc>
        <w:tc>
          <w:tcPr>
            <w:tcW w:w="1015"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highlight w:val="none"/>
                <w:lang w:val="en-US" w:eastAsia="en-GB" w:bidi="ar-SA"/>
              </w:rPr>
            </w:pPr>
            <w:r>
              <w:rPr>
                <w:rFonts w:eastAsia="宋体"/>
                <w:b/>
                <w:bCs w:val="0"/>
                <w:i w:val="0"/>
                <w:iCs w:val="0"/>
                <w:kern w:val="2"/>
                <w:sz w:val="18"/>
                <w:highlight w:val="none"/>
                <w:lang w:eastAsia="en-GB"/>
              </w:rPr>
              <w:t>Enhanced RRM requirements for measurements in IDLE and INACTIVE modes</w:t>
            </w:r>
          </w:p>
        </w:tc>
        <w:tc>
          <w:tcPr>
            <w:tcW w:w="2142"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GB" w:bidi="ar-SA"/>
              </w:rPr>
            </w:pPr>
            <w:r>
              <w:rPr>
                <w:rFonts w:hint="eastAsia" w:eastAsia="宋体"/>
                <w:b/>
                <w:bCs w:val="0"/>
                <w:i w:val="0"/>
                <w:iCs w:val="0"/>
                <w:kern w:val="2"/>
                <w:sz w:val="18"/>
                <w:lang w:eastAsia="en-GB"/>
              </w:rPr>
              <w:t>Indicate the support of enhanced inter-frequency cell re-selection requirements for ATG (as specific in TS 38.133 Table 4.2D.2.4-2)</w:t>
            </w:r>
          </w:p>
        </w:tc>
        <w:tc>
          <w:tcPr>
            <w:tcW w:w="942"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bCs w:val="0"/>
                <w:i w:val="0"/>
                <w:iCs w:val="0"/>
                <w:kern w:val="2"/>
                <w:sz w:val="18"/>
                <w:szCs w:val="24"/>
                <w:lang w:val="en-US" w:eastAsia="en-US" w:bidi="ar-SA"/>
              </w:rPr>
            </w:pPr>
          </w:p>
        </w:tc>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n/a</w:t>
            </w:r>
          </w:p>
        </w:tc>
        <w:tc>
          <w:tcPr>
            <w:tcW w:w="96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n/a</w:t>
            </w:r>
          </w:p>
        </w:tc>
        <w:tc>
          <w:tcPr>
            <w:tcW w:w="81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Optional without capability signaling</w:t>
            </w:r>
          </w:p>
        </w:tc>
      </w:tr>
    </w:tbl>
    <w:p>
      <w:pPr>
        <w:pStyle w:val="10"/>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default" w:eastAsia="宋体"/>
          <w:color w:val="auto"/>
          <w:sz w:val="20"/>
          <w:szCs w:val="20"/>
          <w:lang w:val="en-US" w:eastAsia="zh-CN"/>
        </w:rPr>
      </w:pPr>
      <w:r>
        <w:rPr>
          <w:rFonts w:hint="eastAsia" w:eastAsia="宋体" w:cs="Times New Roman"/>
          <w:b/>
          <w:bCs/>
          <w:strike w:val="0"/>
          <w:dstrike w:val="0"/>
          <w:color w:val="auto"/>
          <w:sz w:val="20"/>
          <w:szCs w:val="20"/>
          <w:highlight w:val="none"/>
          <w:lang w:val="en-US" w:eastAsia="zh-CN" w:bidi="ar-SA"/>
        </w:rPr>
        <w:t xml:space="preserve">Proposal 2: The UE feature of </w:t>
      </w:r>
      <w:r>
        <w:rPr>
          <w:rFonts w:hint="default" w:eastAsia="宋体" w:cs="Times New Roman"/>
          <w:b/>
          <w:bCs/>
          <w:strike w:val="0"/>
          <w:dstrike w:val="0"/>
          <w:color w:val="auto"/>
          <w:sz w:val="20"/>
          <w:szCs w:val="20"/>
          <w:highlight w:val="none"/>
          <w:lang w:val="en-US" w:eastAsia="zh-CN" w:bidi="ar-SA"/>
        </w:rPr>
        <w:t>‘Location-based measurement report trigger’</w:t>
      </w:r>
      <w:r>
        <w:rPr>
          <w:rFonts w:hint="eastAsia" w:eastAsia="宋体" w:cs="Times New Roman"/>
          <w:b/>
          <w:bCs/>
          <w:strike w:val="0"/>
          <w:dstrike w:val="0"/>
          <w:color w:val="auto"/>
          <w:sz w:val="20"/>
          <w:szCs w:val="20"/>
          <w:highlight w:val="none"/>
          <w:lang w:val="en-US" w:eastAsia="zh-CN" w:bidi="ar-SA"/>
        </w:rPr>
        <w:t xml:space="preserve">, </w:t>
      </w:r>
      <w:r>
        <w:rPr>
          <w:rFonts w:hint="default" w:eastAsia="宋体" w:cs="Times New Roman"/>
          <w:b/>
          <w:bCs/>
          <w:strike w:val="0"/>
          <w:dstrike w:val="0"/>
          <w:color w:val="auto"/>
          <w:sz w:val="20"/>
          <w:szCs w:val="20"/>
          <w:highlight w:val="none"/>
          <w:lang w:val="en-US" w:eastAsia="zh-CN" w:bidi="ar-SA"/>
        </w:rPr>
        <w:t>‘SR triggered by a TA report’</w:t>
      </w:r>
      <w:r>
        <w:rPr>
          <w:rFonts w:hint="eastAsia" w:eastAsia="宋体" w:cs="Times New Roman"/>
          <w:b/>
          <w:bCs/>
          <w:strike w:val="0"/>
          <w:dstrike w:val="0"/>
          <w:color w:val="auto"/>
          <w:sz w:val="20"/>
          <w:szCs w:val="20"/>
          <w:highlight w:val="none"/>
          <w:lang w:val="en-US" w:eastAsia="zh-CN" w:bidi="ar-SA"/>
        </w:rPr>
        <w:t xml:space="preserve"> and </w:t>
      </w:r>
      <w:r>
        <w:rPr>
          <w:rFonts w:hint="default" w:eastAsia="宋体" w:cs="Times New Roman"/>
          <w:b/>
          <w:bCs/>
          <w:strike w:val="0"/>
          <w:dstrike w:val="0"/>
          <w:color w:val="auto"/>
          <w:sz w:val="20"/>
          <w:szCs w:val="20"/>
          <w:highlight w:val="none"/>
          <w:lang w:val="en-US" w:eastAsia="zh-CN" w:bidi="ar-SA"/>
        </w:rPr>
        <w:t>‘TA reporting during initial access’</w:t>
      </w:r>
      <w:r>
        <w:rPr>
          <w:rFonts w:hint="eastAsia" w:eastAsia="宋体" w:cs="Times New Roman"/>
          <w:b/>
          <w:bCs/>
          <w:strike w:val="0"/>
          <w:dstrike w:val="0"/>
          <w:color w:val="auto"/>
          <w:sz w:val="20"/>
          <w:szCs w:val="20"/>
          <w:highlight w:val="none"/>
          <w:lang w:val="en-US" w:eastAsia="zh-CN" w:bidi="ar-SA"/>
        </w:rPr>
        <w:t xml:space="preserve"> are not needed in R18 ATG.</w:t>
      </w:r>
    </w:p>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Besides the above suspending UE features, for the already approved UE features, still some characteristics are uncertain, we list them as below:</w:t>
      </w:r>
    </w:p>
    <w:tbl>
      <w:tblPr>
        <w:tblStyle w:val="18"/>
        <w:tblW w:w="947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893"/>
        <w:gridCol w:w="1467"/>
        <w:gridCol w:w="729"/>
        <w:gridCol w:w="914"/>
        <w:gridCol w:w="831"/>
        <w:gridCol w:w="794"/>
        <w:gridCol w:w="951"/>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0" w:hRule="atLeast"/>
        </w:trPr>
        <w:tc>
          <w:tcPr>
            <w:tcW w:w="87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GB"/>
              </w:rPr>
            </w:pPr>
            <w:r>
              <w:rPr>
                <w:rFonts w:eastAsia="宋体"/>
                <w:b w:val="0"/>
                <w:bCs/>
                <w:i w:val="0"/>
                <w:iCs w:val="0"/>
                <w:kern w:val="2"/>
                <w:sz w:val="18"/>
                <w:szCs w:val="18"/>
              </w:rPr>
              <w:t>Feature group</w:t>
            </w:r>
          </w:p>
        </w:tc>
        <w:tc>
          <w:tcPr>
            <w:tcW w:w="189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Components</w:t>
            </w:r>
          </w:p>
        </w:tc>
        <w:tc>
          <w:tcPr>
            <w:tcW w:w="1467"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Prerequisite feature groups</w:t>
            </w:r>
          </w:p>
        </w:tc>
        <w:tc>
          <w:tcPr>
            <w:tcW w:w="729"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Field name in TS 38.331 [2]</w:t>
            </w:r>
          </w:p>
        </w:tc>
        <w:tc>
          <w:tcPr>
            <w:tcW w:w="914"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hint="default" w:eastAsia="宋体"/>
                <w:b w:val="0"/>
                <w:bCs/>
                <w:i w:val="0"/>
                <w:iCs w:val="0"/>
                <w:kern w:val="2"/>
                <w:sz w:val="18"/>
                <w:lang w:val="en-US" w:eastAsia="zh-CN"/>
              </w:rPr>
            </w:pPr>
            <w:r>
              <w:rPr>
                <w:rFonts w:hint="eastAsia" w:eastAsia="宋体"/>
                <w:b w:val="0"/>
                <w:bCs/>
                <w:i w:val="0"/>
                <w:iCs w:val="0"/>
                <w:kern w:val="2"/>
                <w:sz w:val="18"/>
                <w:szCs w:val="18"/>
                <w:lang w:val="en-US" w:eastAsia="zh-CN"/>
              </w:rPr>
              <w:t>Type</w:t>
            </w:r>
          </w:p>
        </w:tc>
        <w:tc>
          <w:tcPr>
            <w:tcW w:w="83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US"/>
              </w:rPr>
            </w:pPr>
            <w:r>
              <w:rPr>
                <w:rFonts w:eastAsia="宋体"/>
                <w:b w:val="0"/>
                <w:bCs/>
                <w:i w:val="0"/>
                <w:iCs w:val="0"/>
                <w:kern w:val="2"/>
                <w:sz w:val="18"/>
                <w:szCs w:val="18"/>
              </w:rPr>
              <w:t>Need of FDD/TDD differentiation</w:t>
            </w:r>
          </w:p>
        </w:tc>
        <w:tc>
          <w:tcPr>
            <w:tcW w:w="794"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lang w:eastAsia="en-US"/>
              </w:rPr>
            </w:pPr>
            <w:r>
              <w:rPr>
                <w:rFonts w:eastAsia="宋体"/>
                <w:b w:val="0"/>
                <w:bCs/>
                <w:i w:val="0"/>
                <w:iCs w:val="0"/>
                <w:kern w:val="2"/>
                <w:sz w:val="18"/>
                <w:szCs w:val="18"/>
              </w:rPr>
              <w:t>Need of FR1/FR2 differentiation</w:t>
            </w:r>
          </w:p>
        </w:tc>
        <w:tc>
          <w:tcPr>
            <w:tcW w:w="95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Note</w:t>
            </w:r>
          </w:p>
        </w:tc>
        <w:tc>
          <w:tcPr>
            <w:tcW w:w="101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val="0"/>
                <w:bCs/>
                <w:i w:val="0"/>
                <w:iCs w:val="0"/>
                <w:kern w:val="2"/>
                <w:sz w:val="18"/>
              </w:rPr>
            </w:pPr>
            <w:r>
              <w:rPr>
                <w:rFonts w:eastAsia="宋体"/>
                <w:b w:val="0"/>
                <w:bCs/>
                <w:i w:val="0"/>
                <w:iCs w:val="0"/>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GB"/>
              </w:rPr>
              <w:t>Location based CHO</w:t>
            </w:r>
          </w:p>
        </w:tc>
        <w:tc>
          <w:tcPr>
            <w:tcW w:w="189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Indicates whether the UE supports location based CHO</w:t>
            </w:r>
          </w:p>
        </w:tc>
        <w:tc>
          <w:tcPr>
            <w:tcW w:w="1467"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hint="eastAsia"/>
                <w:color w:val="000000"/>
                <w:sz w:val="18"/>
                <w:szCs w:val="18"/>
              </w:rPr>
              <w:t>1</w:t>
            </w:r>
            <w:r>
              <w:rPr>
                <w:color w:val="000000"/>
                <w:sz w:val="18"/>
                <w:szCs w:val="18"/>
              </w:rPr>
              <w:t>7-3 CHO</w:t>
            </w:r>
          </w:p>
        </w:tc>
        <w:tc>
          <w:tcPr>
            <w:tcW w:w="729" w:type="dxa"/>
            <w:tcBorders>
              <w:top w:val="single" w:color="auto" w:sz="4" w:space="0"/>
              <w:left w:val="single" w:color="auto" w:sz="4" w:space="0"/>
              <w:bottom w:val="single" w:color="auto" w:sz="4" w:space="0"/>
              <w:right w:val="single" w:color="auto" w:sz="4" w:space="0"/>
            </w:tcBorders>
            <w:vAlign w:val="center"/>
          </w:tcPr>
          <w:p>
            <w:pPr>
              <w:keepNext/>
              <w:keepLines/>
              <w:rPr>
                <w:rFonts w:ascii="Times New Roman" w:hAnsi="Times New Roman" w:eastAsia="宋体" w:cs="Times New Roman"/>
                <w:b w:val="0"/>
                <w:bCs/>
                <w:i w:val="0"/>
                <w:iCs w:val="0"/>
                <w:kern w:val="2"/>
                <w:sz w:val="18"/>
                <w:szCs w:val="24"/>
                <w:lang w:val="en-US" w:eastAsia="en-US" w:bidi="ar-SA"/>
              </w:rPr>
            </w:pPr>
            <w:r>
              <w:rPr>
                <w:rFonts w:hint="eastAsia" w:eastAsia="宋体"/>
                <w:b w:val="0"/>
                <w:bCs/>
                <w:i w:val="0"/>
                <w:iCs w:val="0"/>
                <w:kern w:val="2"/>
                <w:sz w:val="18"/>
              </w:rPr>
              <w:t>TBD</w:t>
            </w:r>
          </w:p>
        </w:tc>
        <w:tc>
          <w:tcPr>
            <w:tcW w:w="914"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val="0"/>
                <w:bCs/>
                <w:i w:val="0"/>
                <w:iCs w:val="0"/>
                <w:kern w:val="2"/>
                <w:sz w:val="18"/>
                <w:szCs w:val="24"/>
                <w:lang w:val="en-US" w:eastAsia="zh-CN" w:bidi="ar-SA"/>
              </w:rPr>
            </w:pPr>
            <w:r>
              <w:rPr>
                <w:rFonts w:hint="eastAsia" w:eastAsia="宋体"/>
                <w:b w:val="0"/>
                <w:bCs/>
                <w:i w:val="0"/>
                <w:iCs w:val="0"/>
                <w:kern w:val="2"/>
                <w:sz w:val="18"/>
                <w:highlight w:val="yellow"/>
                <w:lang w:val="en-US" w:eastAsia="zh-CN"/>
              </w:rPr>
              <w:t>[Per band]</w:t>
            </w:r>
          </w:p>
        </w:tc>
        <w:tc>
          <w:tcPr>
            <w:tcW w:w="83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794"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 xml:space="preserve">UE shall set the capability value consistently for all </w:t>
            </w:r>
            <w:r>
              <w:rPr>
                <w:rFonts w:hint="eastAsia" w:eastAsia="宋体"/>
                <w:b w:val="0"/>
                <w:bCs/>
                <w:i w:val="0"/>
                <w:iCs w:val="0"/>
                <w:kern w:val="2"/>
                <w:sz w:val="18"/>
              </w:rPr>
              <w:t>ATG operating</w:t>
            </w:r>
            <w:r>
              <w:rPr>
                <w:rFonts w:eastAsia="宋体"/>
                <w:b w:val="0"/>
                <w:bCs/>
                <w:i w:val="0"/>
                <w:iCs w:val="0"/>
                <w:kern w:val="2"/>
                <w:sz w:val="18"/>
              </w:rPr>
              <w:t xml:space="preserve"> bands.</w:t>
            </w: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876"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GB" w:bidi="ar-SA"/>
              </w:rPr>
            </w:pPr>
            <w:r>
              <w:rPr>
                <w:rFonts w:eastAsia="宋体"/>
                <w:b w:val="0"/>
                <w:bCs/>
                <w:i w:val="0"/>
                <w:iCs w:val="0"/>
                <w:kern w:val="2"/>
                <w:sz w:val="18"/>
              </w:rPr>
              <w:t xml:space="preserve">UE reporting of </w:t>
            </w:r>
            <w:r>
              <w:rPr>
                <w:rFonts w:hint="eastAsia" w:eastAsia="宋体"/>
                <w:b w:val="0"/>
                <w:bCs/>
                <w:i w:val="0"/>
                <w:iCs w:val="0"/>
                <w:kern w:val="2"/>
                <w:sz w:val="18"/>
              </w:rPr>
              <w:t xml:space="preserve">TA </w:t>
            </w:r>
            <w:r>
              <w:rPr>
                <w:rFonts w:eastAsia="宋体"/>
                <w:b w:val="0"/>
                <w:bCs/>
                <w:i w:val="0"/>
                <w:iCs w:val="0"/>
                <w:kern w:val="2"/>
                <w:sz w:val="18"/>
              </w:rPr>
              <w:t xml:space="preserve">information </w:t>
            </w:r>
          </w:p>
        </w:tc>
        <w:tc>
          <w:tcPr>
            <w:tcW w:w="1893"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 xml:space="preserve">Support UE reporting of </w:t>
            </w:r>
            <w:r>
              <w:rPr>
                <w:rFonts w:hint="eastAsia" w:eastAsia="宋体"/>
                <w:b w:val="0"/>
                <w:bCs/>
                <w:i w:val="0"/>
                <w:iCs w:val="0"/>
                <w:kern w:val="2"/>
                <w:sz w:val="18"/>
              </w:rPr>
              <w:t xml:space="preserve">TA </w:t>
            </w:r>
            <w:r>
              <w:rPr>
                <w:rFonts w:eastAsia="宋体"/>
                <w:b w:val="0"/>
                <w:bCs/>
                <w:i w:val="0"/>
                <w:iCs w:val="0"/>
                <w:kern w:val="2"/>
                <w:sz w:val="18"/>
              </w:rPr>
              <w:t>information</w:t>
            </w:r>
          </w:p>
        </w:tc>
        <w:tc>
          <w:tcPr>
            <w:tcW w:w="1467"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r>
              <w:rPr>
                <w:color w:val="000000"/>
                <w:sz w:val="18"/>
                <w:szCs w:val="18"/>
                <w:highlight w:val="yellow"/>
              </w:rPr>
              <w:t>[Uplink Time and Frequency pre-compensation and timing relationship enhancements]</w:t>
            </w:r>
          </w:p>
        </w:tc>
        <w:tc>
          <w:tcPr>
            <w:tcW w:w="729"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hint="eastAsia" w:ascii="Times New Roman" w:hAnsi="Times New Roman" w:eastAsia="宋体" w:cs="Times New Roman"/>
                <w:b w:val="0"/>
                <w:bCs/>
                <w:i w:val="0"/>
                <w:iCs w:val="0"/>
                <w:kern w:val="2"/>
                <w:sz w:val="18"/>
                <w:szCs w:val="18"/>
                <w:lang w:val="en-US" w:eastAsia="en-US" w:bidi="ar-SA"/>
              </w:rPr>
            </w:pPr>
            <w:r>
              <w:rPr>
                <w:rFonts w:hint="eastAsia" w:eastAsia="宋体"/>
                <w:b w:val="0"/>
                <w:bCs/>
                <w:i w:val="0"/>
                <w:iCs w:val="0"/>
                <w:kern w:val="2"/>
                <w:sz w:val="18"/>
                <w:szCs w:val="18"/>
              </w:rPr>
              <w:t>TBD</w:t>
            </w:r>
          </w:p>
        </w:tc>
        <w:tc>
          <w:tcPr>
            <w:tcW w:w="914"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hint="default" w:ascii="Times New Roman" w:hAnsi="Times New Roman" w:eastAsia="宋体" w:cs="Times New Roman"/>
                <w:b w:val="0"/>
                <w:bCs/>
                <w:i w:val="0"/>
                <w:iCs w:val="0"/>
                <w:kern w:val="2"/>
                <w:sz w:val="18"/>
                <w:szCs w:val="18"/>
                <w:lang w:val="en-US" w:eastAsia="zh-CN" w:bidi="ar-SA"/>
              </w:rPr>
            </w:pPr>
            <w:r>
              <w:rPr>
                <w:rFonts w:hint="eastAsia" w:eastAsia="宋体"/>
                <w:b w:val="0"/>
                <w:bCs/>
                <w:i w:val="0"/>
                <w:iCs w:val="0"/>
                <w:kern w:val="2"/>
                <w:sz w:val="18"/>
                <w:szCs w:val="18"/>
                <w:lang w:val="en-US" w:eastAsia="zh-CN"/>
              </w:rPr>
              <w:t>Per UE</w:t>
            </w:r>
          </w:p>
        </w:tc>
        <w:tc>
          <w:tcPr>
            <w:tcW w:w="831"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No</w:t>
            </w:r>
          </w:p>
        </w:tc>
        <w:tc>
          <w:tcPr>
            <w:tcW w:w="794"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widowControl w:val="0"/>
              <w:jc w:val="both"/>
              <w:rPr>
                <w:rFonts w:ascii="Times New Roman" w:hAnsi="Times New Roman" w:eastAsia="宋体" w:cs="Times New Roman"/>
                <w:b w:val="0"/>
                <w:bCs/>
                <w:i w:val="0"/>
                <w:iCs w:val="0"/>
                <w:kern w:val="2"/>
                <w:sz w:val="18"/>
                <w:szCs w:val="24"/>
                <w:lang w:val="en-US" w:eastAsia="en-US" w:bidi="ar-SA"/>
              </w:rPr>
            </w:pPr>
            <w:r>
              <w:rPr>
                <w:rFonts w:eastAsia="宋体"/>
                <w:b w:val="0"/>
                <w:bCs/>
                <w:i w:val="0"/>
                <w:iCs w:val="0"/>
                <w:kern w:val="2"/>
                <w:sz w:val="18"/>
              </w:rPr>
              <w:t>Optional</w:t>
            </w:r>
            <w:r>
              <w:rPr>
                <w:rFonts w:hint="eastAsia" w:eastAsia="宋体"/>
                <w:b w:val="0"/>
                <w:bCs/>
                <w:i w:val="0"/>
                <w:iCs w:val="0"/>
                <w:kern w:val="2"/>
                <w:sz w:val="18"/>
              </w:rPr>
              <w:t xml:space="preserve"> </w:t>
            </w:r>
            <w:r>
              <w:rPr>
                <w:rFonts w:eastAsia="宋体"/>
                <w:b w:val="0"/>
                <w:bCs/>
                <w:i w:val="0"/>
                <w:iCs w:val="0"/>
                <w:kern w:val="2"/>
                <w:sz w:val="18"/>
              </w:rPr>
              <w:t xml:space="preserve">with capability signalling </w:t>
            </w:r>
          </w:p>
        </w:tc>
      </w:tr>
    </w:tbl>
    <w:p>
      <w:pPr>
        <w:pStyle w:val="10"/>
        <w:numPr>
          <w:ilvl w:val="0"/>
          <w:numId w:val="0"/>
        </w:numPr>
        <w:ind w:leftChars="0"/>
        <w:jc w:val="both"/>
        <w:rPr>
          <w:rFonts w:hint="eastAsia" w:eastAsia="宋体"/>
          <w:color w:val="auto"/>
          <w:sz w:val="20"/>
          <w:szCs w:val="20"/>
          <w:lang w:val="en-US" w:eastAsia="zh-CN"/>
        </w:rPr>
      </w:pPr>
      <w:r>
        <w:rPr>
          <w:rFonts w:hint="eastAsia" w:eastAsia="宋体"/>
          <w:color w:val="auto"/>
          <w:sz w:val="20"/>
          <w:szCs w:val="20"/>
          <w:lang w:val="en-US" w:eastAsia="zh-CN"/>
        </w:rPr>
        <w:t>For the type of location based CHO in ATG, per UE type is enough.</w:t>
      </w:r>
    </w:p>
    <w:p>
      <w:pPr>
        <w:pStyle w:val="10"/>
        <w:numPr>
          <w:ilvl w:val="0"/>
          <w:numId w:val="0"/>
        </w:numPr>
        <w:ind w:left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Regarding the UE feature of </w:t>
      </w:r>
      <w:r>
        <w:rPr>
          <w:rFonts w:hint="default" w:eastAsia="宋体"/>
          <w:color w:val="auto"/>
          <w:sz w:val="20"/>
          <w:szCs w:val="20"/>
          <w:lang w:val="en-US" w:eastAsia="zh-CN"/>
        </w:rPr>
        <w:t>‘</w:t>
      </w:r>
      <w:r>
        <w:rPr>
          <w:rFonts w:hint="eastAsia" w:eastAsia="宋体"/>
          <w:color w:val="auto"/>
          <w:sz w:val="20"/>
          <w:szCs w:val="20"/>
          <w:lang w:val="en-US" w:eastAsia="zh-CN"/>
        </w:rPr>
        <w:t>UE reporting of TA information</w:t>
      </w:r>
      <w:r>
        <w:rPr>
          <w:rFonts w:hint="default" w:eastAsia="宋体"/>
          <w:color w:val="auto"/>
          <w:sz w:val="20"/>
          <w:szCs w:val="20"/>
          <w:lang w:val="en-US" w:eastAsia="zh-CN"/>
        </w:rPr>
        <w:t>’</w:t>
      </w:r>
      <w:r>
        <w:rPr>
          <w:rFonts w:hint="eastAsia" w:eastAsia="宋体"/>
          <w:color w:val="auto"/>
          <w:sz w:val="20"/>
          <w:szCs w:val="20"/>
          <w:lang w:val="en-US" w:eastAsia="zh-CN"/>
        </w:rPr>
        <w:t>, in fact some general description is enough, how to use such info, totally depend on NW decision. Our suggestion is no need to add any prerequisite.</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UE feature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Location based CHO</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can be per UE type. </w:t>
      </w:r>
    </w:p>
    <w:p>
      <w:pPr>
        <w:pStyle w:val="10"/>
        <w:numPr>
          <w:ilvl w:val="0"/>
          <w:numId w:val="0"/>
        </w:numPr>
        <w:ind w:leftChars="0"/>
        <w:jc w:val="both"/>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Whether and how to use the UE reporing TA, t</w:t>
      </w:r>
      <w:bookmarkStart w:id="0" w:name="_GoBack"/>
      <w:bookmarkEnd w:id="0"/>
      <w:r>
        <w:rPr>
          <w:rFonts w:hint="eastAsia" w:eastAsia="宋体" w:cs="Times New Roman"/>
          <w:b/>
          <w:bCs/>
          <w:color w:val="auto"/>
          <w:sz w:val="20"/>
          <w:szCs w:val="20"/>
          <w:highlight w:val="none"/>
          <w:lang w:val="en-US" w:eastAsia="zh-CN" w:bidi="ar-SA"/>
        </w:rPr>
        <w:t>otally depend on NW decision, no need to restrict the any prerequisite in the UE feature description.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10"/>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the UE features of ATG system</w:t>
      </w:r>
      <w:r>
        <w:rPr>
          <w:rFonts w:eastAsia="宋体"/>
          <w:bCs/>
          <w:color w:val="auto"/>
          <w:sz w:val="20"/>
          <w:szCs w:val="20"/>
          <w:lang w:val="en-GB" w:eastAsia="zh-CN"/>
        </w:rPr>
        <w:t>:</w:t>
      </w:r>
    </w:p>
    <w:p>
      <w:pPr>
        <w:pStyle w:val="10"/>
        <w:numPr>
          <w:ilvl w:val="0"/>
          <w:numId w:val="0"/>
        </w:numPr>
        <w:ind w:leftChars="0"/>
        <w:jc w:val="both"/>
        <w:rPr>
          <w:rFonts w:hint="default"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Proposal 1: Besides the already approved UE features in 109 meeting, the additional UE features of below are needed.</w:t>
      </w:r>
    </w:p>
    <w:tbl>
      <w:tblPr>
        <w:tblStyle w:val="18"/>
        <w:tblW w:w="9470" w:type="dxa"/>
        <w:tblInd w:w="12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2142"/>
        <w:gridCol w:w="942"/>
        <w:gridCol w:w="876"/>
        <w:gridCol w:w="960"/>
        <w:gridCol w:w="813"/>
        <w:gridCol w:w="766"/>
        <w:gridCol w:w="951"/>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GB"/>
              </w:rPr>
            </w:pPr>
            <w:r>
              <w:rPr>
                <w:rFonts w:eastAsia="宋体"/>
                <w:b/>
                <w:bCs w:val="0"/>
                <w:i w:val="0"/>
                <w:iCs w:val="0"/>
                <w:kern w:val="2"/>
                <w:sz w:val="18"/>
                <w:szCs w:val="18"/>
              </w:rPr>
              <w:t>Feature group</w:t>
            </w:r>
          </w:p>
        </w:tc>
        <w:tc>
          <w:tcPr>
            <w:tcW w:w="2142"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Components</w:t>
            </w:r>
          </w:p>
        </w:tc>
        <w:tc>
          <w:tcPr>
            <w:tcW w:w="942"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Prerequisite feature groups</w:t>
            </w:r>
          </w:p>
        </w:tc>
        <w:tc>
          <w:tcPr>
            <w:tcW w:w="87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 xml:space="preserve">Field name in TS 38.331 </w:t>
            </w:r>
          </w:p>
        </w:tc>
        <w:tc>
          <w:tcPr>
            <w:tcW w:w="960"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hint="default" w:eastAsia="宋体"/>
                <w:b/>
                <w:bCs w:val="0"/>
                <w:i w:val="0"/>
                <w:iCs w:val="0"/>
                <w:kern w:val="2"/>
                <w:sz w:val="18"/>
                <w:lang w:val="en-US" w:eastAsia="zh-CN"/>
              </w:rPr>
            </w:pPr>
            <w:r>
              <w:rPr>
                <w:rFonts w:hint="eastAsia" w:eastAsia="宋体"/>
                <w:b/>
                <w:bCs w:val="0"/>
                <w:i w:val="0"/>
                <w:iCs w:val="0"/>
                <w:kern w:val="2"/>
                <w:sz w:val="18"/>
                <w:szCs w:val="18"/>
                <w:lang w:val="en-US" w:eastAsia="zh-CN"/>
              </w:rPr>
              <w:t>Type</w:t>
            </w:r>
          </w:p>
        </w:tc>
        <w:tc>
          <w:tcPr>
            <w:tcW w:w="813"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US"/>
              </w:rPr>
            </w:pPr>
            <w:r>
              <w:rPr>
                <w:rFonts w:eastAsia="宋体"/>
                <w:b/>
                <w:bCs w:val="0"/>
                <w:i w:val="0"/>
                <w:iCs w:val="0"/>
                <w:kern w:val="2"/>
                <w:sz w:val="18"/>
                <w:szCs w:val="18"/>
              </w:rPr>
              <w:t>Need of FDD/TDD differentiation</w:t>
            </w:r>
          </w:p>
        </w:tc>
        <w:tc>
          <w:tcPr>
            <w:tcW w:w="766"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lang w:eastAsia="en-US"/>
              </w:rPr>
            </w:pPr>
            <w:r>
              <w:rPr>
                <w:rFonts w:eastAsia="宋体"/>
                <w:b/>
                <w:bCs w:val="0"/>
                <w:i w:val="0"/>
                <w:iCs w:val="0"/>
                <w:kern w:val="2"/>
                <w:sz w:val="18"/>
                <w:szCs w:val="18"/>
              </w:rPr>
              <w:t>Need of FR1/FR2 differentiation</w:t>
            </w:r>
          </w:p>
        </w:tc>
        <w:tc>
          <w:tcPr>
            <w:tcW w:w="951"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Note</w:t>
            </w:r>
          </w:p>
        </w:tc>
        <w:tc>
          <w:tcPr>
            <w:tcW w:w="1015" w:type="dxa"/>
            <w:tcBorders>
              <w:top w:val="single" w:color="auto" w:sz="4" w:space="0"/>
              <w:left w:val="single" w:color="auto" w:sz="4" w:space="0"/>
              <w:bottom w:val="single" w:color="auto" w:sz="4" w:space="0"/>
              <w:right w:val="single" w:color="auto" w:sz="4" w:space="0"/>
            </w:tcBorders>
          </w:tcPr>
          <w:p>
            <w:pPr>
              <w:keepNext/>
              <w:keepLines/>
              <w:widowControl w:val="0"/>
              <w:jc w:val="both"/>
              <w:rPr>
                <w:rFonts w:eastAsia="宋体"/>
                <w:b/>
                <w:bCs w:val="0"/>
                <w:i w:val="0"/>
                <w:iCs w:val="0"/>
                <w:kern w:val="2"/>
                <w:sz w:val="18"/>
              </w:rPr>
            </w:pPr>
            <w:r>
              <w:rPr>
                <w:rFonts w:eastAsia="宋体"/>
                <w:b/>
                <w:bCs w:val="0"/>
                <w:i w:val="0"/>
                <w:iCs w:val="0"/>
                <w:kern w:val="2"/>
                <w:sz w:val="18"/>
                <w:szCs w:val="18"/>
              </w:rPr>
              <w:t>Mandatory/Optional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highlight w:val="none"/>
                <w:lang w:eastAsia="en-GB"/>
              </w:rPr>
            </w:pPr>
            <w:r>
              <w:rPr>
                <w:rFonts w:eastAsia="宋体"/>
                <w:b/>
                <w:bCs w:val="0"/>
                <w:i w:val="0"/>
                <w:iCs w:val="0"/>
                <w:kern w:val="2"/>
                <w:sz w:val="18"/>
                <w:highlight w:val="none"/>
                <w:lang w:eastAsia="en-GB"/>
              </w:rPr>
              <w:t>Event A4 based CHO</w:t>
            </w:r>
          </w:p>
        </w:tc>
        <w:tc>
          <w:tcPr>
            <w:tcW w:w="2142"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Indicates whether the UE supports Event A4 based CHO</w:t>
            </w:r>
          </w:p>
        </w:tc>
        <w:tc>
          <w:tcPr>
            <w:tcW w:w="942"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hint="eastAsia"/>
                <w:b/>
                <w:bCs w:val="0"/>
                <w:color w:val="000000"/>
                <w:sz w:val="18"/>
                <w:szCs w:val="18"/>
              </w:rPr>
              <w:t>1</w:t>
            </w:r>
            <w:r>
              <w:rPr>
                <w:b/>
                <w:bCs w:val="0"/>
                <w:color w:val="000000"/>
                <w:sz w:val="18"/>
                <w:szCs w:val="18"/>
              </w:rPr>
              <w:t>7-3 CHO</w:t>
            </w:r>
          </w:p>
        </w:tc>
        <w:tc>
          <w:tcPr>
            <w:tcW w:w="876" w:type="dxa"/>
            <w:tcBorders>
              <w:top w:val="single" w:color="auto" w:sz="4" w:space="0"/>
              <w:left w:val="single" w:color="auto" w:sz="4" w:space="0"/>
              <w:bottom w:val="single" w:color="auto" w:sz="4" w:space="0"/>
              <w:right w:val="single" w:color="auto" w:sz="4" w:space="0"/>
            </w:tcBorders>
            <w:vAlign w:val="center"/>
          </w:tcPr>
          <w:p>
            <w:pPr>
              <w:keepNext/>
              <w:keepLines/>
              <w:rPr>
                <w:rFonts w:eastAsia="宋体"/>
                <w:b/>
                <w:bCs w:val="0"/>
                <w:i w:val="0"/>
                <w:iCs w:val="0"/>
                <w:kern w:val="2"/>
                <w:sz w:val="18"/>
              </w:rPr>
            </w:pPr>
            <w:r>
              <w:rPr>
                <w:rFonts w:hint="eastAsia" w:eastAsia="宋体"/>
                <w:b/>
                <w:bCs w:val="0"/>
                <w:i w:val="0"/>
                <w:iCs w:val="0"/>
                <w:kern w:val="2"/>
                <w:sz w:val="18"/>
              </w:rPr>
              <w:t>TBD</w:t>
            </w:r>
          </w:p>
        </w:tc>
        <w:tc>
          <w:tcPr>
            <w:tcW w:w="960"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BandNR</w:t>
            </w:r>
          </w:p>
        </w:tc>
        <w:tc>
          <w:tcPr>
            <w:tcW w:w="813"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lang w:eastAsia="en-US"/>
              </w:rPr>
            </w:pPr>
            <w:r>
              <w:rPr>
                <w:rFonts w:eastAsia="宋体"/>
                <w:b/>
                <w:bCs w:val="0"/>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lang w:eastAsia="en-US"/>
              </w:rPr>
            </w:pPr>
            <w:r>
              <w:rPr>
                <w:rFonts w:eastAsia="宋体"/>
                <w:b/>
                <w:bCs w:val="0"/>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 xml:space="preserve">UE shall set the capability value consistently for all </w:t>
            </w:r>
            <w:r>
              <w:rPr>
                <w:rFonts w:hint="eastAsia" w:eastAsia="宋体"/>
                <w:b/>
                <w:bCs w:val="0"/>
                <w:i w:val="0"/>
                <w:iCs w:val="0"/>
                <w:kern w:val="2"/>
                <w:sz w:val="18"/>
              </w:rPr>
              <w:t>ATG operating</w:t>
            </w:r>
            <w:r>
              <w:rPr>
                <w:rFonts w:eastAsia="宋体"/>
                <w:b/>
                <w:bCs w:val="0"/>
                <w:i w:val="0"/>
                <w:iCs w:val="0"/>
                <w:kern w:val="2"/>
                <w:sz w:val="18"/>
              </w:rPr>
              <w:t xml:space="preserve"> bands.</w:t>
            </w:r>
          </w:p>
        </w:tc>
        <w:tc>
          <w:tcPr>
            <w:tcW w:w="1015" w:type="dxa"/>
            <w:tcBorders>
              <w:top w:val="single" w:color="auto" w:sz="4" w:space="0"/>
              <w:left w:val="single" w:color="auto" w:sz="4" w:space="0"/>
              <w:bottom w:val="single" w:color="auto" w:sz="4" w:space="0"/>
              <w:right w:val="single" w:color="auto" w:sz="4" w:space="0"/>
            </w:tcBorders>
          </w:tcPr>
          <w:p>
            <w:pPr>
              <w:keepNext/>
              <w:keepLines/>
              <w:rPr>
                <w:rFonts w:eastAsia="宋体"/>
                <w:b/>
                <w:bCs w:val="0"/>
                <w:i w:val="0"/>
                <w:iCs w:val="0"/>
                <w:kern w:val="2"/>
                <w:sz w:val="18"/>
              </w:rPr>
            </w:pPr>
            <w:r>
              <w:rPr>
                <w:rFonts w:eastAsia="宋体"/>
                <w:b/>
                <w:bCs w:val="0"/>
                <w:i w:val="0"/>
                <w:iCs w:val="0"/>
                <w:kern w:val="2"/>
                <w:sz w:val="18"/>
              </w:rPr>
              <w:t>Optional with capability signalling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 w:hRule="atLeast"/>
        </w:trPr>
        <w:tc>
          <w:tcPr>
            <w:tcW w:w="100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highlight w:val="none"/>
                <w:lang w:val="en-US" w:eastAsia="en-GB" w:bidi="ar-SA"/>
              </w:rPr>
            </w:pPr>
            <w:r>
              <w:rPr>
                <w:rFonts w:eastAsia="宋体"/>
                <w:b/>
                <w:bCs w:val="0"/>
                <w:i w:val="0"/>
                <w:iCs w:val="0"/>
                <w:kern w:val="2"/>
                <w:sz w:val="18"/>
                <w:highlight w:val="none"/>
                <w:lang w:eastAsia="en-GB"/>
              </w:rPr>
              <w:t>Enhanced RRM requirements for measurements in IDLE and INACTIVE modes</w:t>
            </w:r>
          </w:p>
        </w:tc>
        <w:tc>
          <w:tcPr>
            <w:tcW w:w="2142"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GB" w:bidi="ar-SA"/>
              </w:rPr>
            </w:pPr>
            <w:r>
              <w:rPr>
                <w:rFonts w:hint="eastAsia" w:eastAsia="宋体"/>
                <w:b/>
                <w:bCs w:val="0"/>
                <w:i w:val="0"/>
                <w:iCs w:val="0"/>
                <w:kern w:val="2"/>
                <w:sz w:val="18"/>
                <w:lang w:eastAsia="en-GB"/>
              </w:rPr>
              <w:t>Indicate the support of enhanced inter-frequency cell re-selection requirements for ATG (as specific in TS 38.133 Table 4.2D.2.4-2)</w:t>
            </w:r>
          </w:p>
        </w:tc>
        <w:tc>
          <w:tcPr>
            <w:tcW w:w="942"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bCs w:val="0"/>
                <w:i w:val="0"/>
                <w:iCs w:val="0"/>
                <w:kern w:val="2"/>
                <w:sz w:val="18"/>
                <w:szCs w:val="24"/>
                <w:lang w:val="en-US" w:eastAsia="en-US" w:bidi="ar-SA"/>
              </w:rPr>
            </w:pPr>
          </w:p>
        </w:tc>
        <w:tc>
          <w:tcPr>
            <w:tcW w:w="876" w:type="dxa"/>
            <w:tcBorders>
              <w:top w:val="single" w:color="auto" w:sz="4" w:space="0"/>
              <w:left w:val="single" w:color="auto" w:sz="4" w:space="0"/>
              <w:bottom w:val="single" w:color="auto" w:sz="4" w:space="0"/>
              <w:right w:val="single" w:color="auto" w:sz="4" w:space="0"/>
            </w:tcBorders>
            <w:vAlign w:val="top"/>
          </w:tcPr>
          <w:p>
            <w:pPr>
              <w:keepNext/>
              <w:keepLines/>
              <w:rPr>
                <w:rFonts w:hint="eastAsia"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n/a</w:t>
            </w:r>
          </w:p>
        </w:tc>
        <w:tc>
          <w:tcPr>
            <w:tcW w:w="960"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n/a</w:t>
            </w:r>
          </w:p>
        </w:tc>
        <w:tc>
          <w:tcPr>
            <w:tcW w:w="813"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US"/>
              </w:rPr>
              <w:t>No</w:t>
            </w:r>
          </w:p>
        </w:tc>
        <w:tc>
          <w:tcPr>
            <w:tcW w:w="766"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US"/>
              </w:rPr>
              <w:t>No</w:t>
            </w:r>
          </w:p>
        </w:tc>
        <w:tc>
          <w:tcPr>
            <w:tcW w:w="951"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p>
        </w:tc>
        <w:tc>
          <w:tcPr>
            <w:tcW w:w="1015" w:type="dxa"/>
            <w:tcBorders>
              <w:top w:val="single" w:color="auto" w:sz="4" w:space="0"/>
              <w:left w:val="single" w:color="auto" w:sz="4" w:space="0"/>
              <w:bottom w:val="single" w:color="auto" w:sz="4" w:space="0"/>
              <w:right w:val="single" w:color="auto" w:sz="4" w:space="0"/>
            </w:tcBorders>
            <w:vAlign w:val="top"/>
          </w:tcPr>
          <w:p>
            <w:pPr>
              <w:keepNext/>
              <w:keepLines/>
              <w:rPr>
                <w:rFonts w:ascii="Times New Roman" w:hAnsi="Times New Roman" w:eastAsia="宋体" w:cs="Times New Roman"/>
                <w:b/>
                <w:bCs w:val="0"/>
                <w:i w:val="0"/>
                <w:iCs w:val="0"/>
                <w:kern w:val="2"/>
                <w:sz w:val="18"/>
                <w:szCs w:val="24"/>
                <w:lang w:val="en-US" w:eastAsia="en-US" w:bidi="ar-SA"/>
              </w:rPr>
            </w:pPr>
            <w:r>
              <w:rPr>
                <w:rFonts w:eastAsia="宋体"/>
                <w:b/>
                <w:bCs w:val="0"/>
                <w:i w:val="0"/>
                <w:iCs w:val="0"/>
                <w:kern w:val="2"/>
                <w:sz w:val="18"/>
                <w:lang w:eastAsia="en-GB"/>
              </w:rPr>
              <w:t>Optional without capability signaling</w:t>
            </w:r>
          </w:p>
        </w:tc>
      </w:tr>
    </w:tbl>
    <w:p>
      <w:pPr>
        <w:pStyle w:val="10"/>
        <w:keepNext w:val="0"/>
        <w:keepLines w:val="0"/>
        <w:pageBreakBefore w:val="0"/>
        <w:widowControl/>
        <w:numPr>
          <w:ilvl w:val="0"/>
          <w:numId w:val="0"/>
        </w:numPr>
        <w:kinsoku/>
        <w:wordWrap/>
        <w:overflowPunct/>
        <w:topLinePunct w:val="0"/>
        <w:autoSpaceDE/>
        <w:autoSpaceDN/>
        <w:bidi w:val="0"/>
        <w:adjustRightInd/>
        <w:snapToGrid/>
        <w:spacing w:before="157" w:beforeLines="50"/>
        <w:ind w:leftChars="0"/>
        <w:jc w:val="both"/>
        <w:textAlignment w:val="auto"/>
        <w:rPr>
          <w:rFonts w:hint="eastAsia" w:eastAsia="宋体" w:cs="Times New Roman"/>
          <w:b/>
          <w:bCs/>
          <w:strike w:val="0"/>
          <w:dstrike w:val="0"/>
          <w:color w:val="auto"/>
          <w:sz w:val="20"/>
          <w:szCs w:val="20"/>
          <w:highlight w:val="none"/>
          <w:lang w:val="en-US" w:eastAsia="zh-CN" w:bidi="ar-SA"/>
        </w:rPr>
      </w:pPr>
      <w:r>
        <w:rPr>
          <w:rFonts w:hint="eastAsia" w:eastAsia="宋体" w:cs="Times New Roman"/>
          <w:b/>
          <w:bCs/>
          <w:strike w:val="0"/>
          <w:dstrike w:val="0"/>
          <w:color w:val="auto"/>
          <w:sz w:val="20"/>
          <w:szCs w:val="20"/>
          <w:highlight w:val="none"/>
          <w:lang w:val="en-US" w:eastAsia="zh-CN" w:bidi="ar-SA"/>
        </w:rPr>
        <w:t xml:space="preserve">Proposal 2: The UE feature of </w:t>
      </w:r>
      <w:r>
        <w:rPr>
          <w:rFonts w:hint="default" w:eastAsia="宋体" w:cs="Times New Roman"/>
          <w:b/>
          <w:bCs/>
          <w:strike w:val="0"/>
          <w:dstrike w:val="0"/>
          <w:color w:val="auto"/>
          <w:sz w:val="20"/>
          <w:szCs w:val="20"/>
          <w:highlight w:val="none"/>
          <w:lang w:val="en-US" w:eastAsia="zh-CN" w:bidi="ar-SA"/>
        </w:rPr>
        <w:t>‘Location-based measurement report trigger’</w:t>
      </w:r>
      <w:r>
        <w:rPr>
          <w:rFonts w:hint="eastAsia" w:eastAsia="宋体" w:cs="Times New Roman"/>
          <w:b/>
          <w:bCs/>
          <w:strike w:val="0"/>
          <w:dstrike w:val="0"/>
          <w:color w:val="auto"/>
          <w:sz w:val="20"/>
          <w:szCs w:val="20"/>
          <w:highlight w:val="none"/>
          <w:lang w:val="en-US" w:eastAsia="zh-CN" w:bidi="ar-SA"/>
        </w:rPr>
        <w:t xml:space="preserve">, </w:t>
      </w:r>
      <w:r>
        <w:rPr>
          <w:rFonts w:hint="default" w:eastAsia="宋体" w:cs="Times New Roman"/>
          <w:b/>
          <w:bCs/>
          <w:strike w:val="0"/>
          <w:dstrike w:val="0"/>
          <w:color w:val="auto"/>
          <w:sz w:val="20"/>
          <w:szCs w:val="20"/>
          <w:highlight w:val="none"/>
          <w:lang w:val="en-US" w:eastAsia="zh-CN" w:bidi="ar-SA"/>
        </w:rPr>
        <w:t>‘SR triggered by a TA report’</w:t>
      </w:r>
      <w:r>
        <w:rPr>
          <w:rFonts w:hint="eastAsia" w:eastAsia="宋体" w:cs="Times New Roman"/>
          <w:b/>
          <w:bCs/>
          <w:strike w:val="0"/>
          <w:dstrike w:val="0"/>
          <w:color w:val="auto"/>
          <w:sz w:val="20"/>
          <w:szCs w:val="20"/>
          <w:highlight w:val="none"/>
          <w:lang w:val="en-US" w:eastAsia="zh-CN" w:bidi="ar-SA"/>
        </w:rPr>
        <w:t xml:space="preserve"> and </w:t>
      </w:r>
      <w:r>
        <w:rPr>
          <w:rFonts w:hint="default" w:eastAsia="宋体" w:cs="Times New Roman"/>
          <w:b/>
          <w:bCs/>
          <w:strike w:val="0"/>
          <w:dstrike w:val="0"/>
          <w:color w:val="auto"/>
          <w:sz w:val="20"/>
          <w:szCs w:val="20"/>
          <w:highlight w:val="none"/>
          <w:lang w:val="en-US" w:eastAsia="zh-CN" w:bidi="ar-SA"/>
        </w:rPr>
        <w:t>‘TA reporting during initial access’</w:t>
      </w:r>
      <w:r>
        <w:rPr>
          <w:rFonts w:hint="eastAsia" w:eastAsia="宋体" w:cs="Times New Roman"/>
          <w:b/>
          <w:bCs/>
          <w:strike w:val="0"/>
          <w:dstrike w:val="0"/>
          <w:color w:val="auto"/>
          <w:sz w:val="20"/>
          <w:szCs w:val="20"/>
          <w:highlight w:val="none"/>
          <w:lang w:val="en-US" w:eastAsia="zh-CN" w:bidi="ar-SA"/>
        </w:rPr>
        <w:t xml:space="preserve"> are not needed in R18 ATG.</w:t>
      </w:r>
    </w:p>
    <w:p>
      <w:pPr>
        <w:pStyle w:val="10"/>
        <w:numPr>
          <w:ilvl w:val="0"/>
          <w:numId w:val="0"/>
        </w:numPr>
        <w:ind w:leftChars="0"/>
        <w:jc w:val="both"/>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3: The UE feature of </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Location based CHO</w:t>
      </w:r>
      <w:r>
        <w:rPr>
          <w:rFonts w:hint="default"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can be per UE type. </w:t>
      </w:r>
    </w:p>
    <w:p>
      <w:pPr>
        <w:pStyle w:val="10"/>
        <w:numPr>
          <w:ilvl w:val="0"/>
          <w:numId w:val="0"/>
        </w:numPr>
        <w:ind w:leftChars="0"/>
        <w:jc w:val="both"/>
        <w:rPr>
          <w:rFonts w:eastAsia="宋体"/>
          <w:bCs/>
          <w:color w:val="auto"/>
          <w:sz w:val="20"/>
          <w:szCs w:val="20"/>
          <w:lang w:val="en-GB" w:eastAsia="zh-CN"/>
        </w:rPr>
      </w:pPr>
      <w:r>
        <w:rPr>
          <w:rFonts w:hint="eastAsia" w:eastAsia="宋体" w:cs="Times New Roman"/>
          <w:b/>
          <w:bCs/>
          <w:color w:val="auto"/>
          <w:sz w:val="20"/>
          <w:szCs w:val="20"/>
          <w:highlight w:val="none"/>
          <w:lang w:val="en-US" w:eastAsia="zh-CN" w:bidi="ar-SA"/>
        </w:rPr>
        <w:t>Proposal 4: Whether and how to use the UE reporing TA, totally depend on NW decision, no need to restrict the any prerequisite in the UE feature description.</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11"/>
        <w:numPr>
          <w:ilvl w:val="0"/>
          <w:numId w:val="6"/>
        </w:numPr>
        <w:ind w:leftChars="0"/>
        <w:rPr>
          <w:rFonts w:hint="eastAsia"/>
          <w:color w:val="auto"/>
          <w:highlight w:val="none"/>
          <w:lang w:val="en-US" w:eastAsia="zh-CN"/>
        </w:rPr>
      </w:pPr>
      <w:r>
        <w:rPr>
          <w:rFonts w:hint="eastAsia"/>
          <w:color w:val="auto"/>
          <w:highlight w:val="none"/>
          <w:lang w:val="en-US" w:eastAsia="zh-CN"/>
        </w:rPr>
        <w:t xml:space="preserve">R4-2321609 </w:t>
      </w:r>
      <w:r>
        <w:rPr>
          <w:rFonts w:hint="default"/>
          <w:color w:val="auto"/>
          <w:highlight w:val="none"/>
          <w:lang w:val="en-US" w:eastAsia="zh-CN"/>
        </w:rPr>
        <w:t>“LS on Layer-1/2/3 ATG UE features and koffset mechanism”</w:t>
      </w:r>
      <w:r>
        <w:rPr>
          <w:rFonts w:hint="eastAsia"/>
          <w:color w:val="auto"/>
          <w:highlight w:val="none"/>
          <w:lang w:val="en-US" w:eastAsia="zh-CN"/>
        </w:rPr>
        <w:t>, CMCC</w:t>
      </w:r>
    </w:p>
    <w:p>
      <w:pPr>
        <w:pStyle w:val="11"/>
        <w:numPr>
          <w:ilvl w:val="0"/>
          <w:numId w:val="6"/>
        </w:numPr>
        <w:ind w:leftChars="0"/>
        <w:rPr>
          <w:rFonts w:hint="default"/>
          <w:color w:val="auto"/>
          <w:highlight w:val="none"/>
          <w:lang w:val="en-US" w:eastAsia="zh-CN"/>
        </w:rPr>
      </w:pPr>
      <w:r>
        <w:rPr>
          <w:rFonts w:hint="eastAsia"/>
          <w:color w:val="auto"/>
          <w:highlight w:val="none"/>
          <w:lang w:val="en-US" w:eastAsia="zh-CN"/>
        </w:rPr>
        <w:t xml:space="preserve">R4-2318901 </w:t>
      </w:r>
      <w:r>
        <w:rPr>
          <w:rFonts w:hint="default"/>
          <w:color w:val="auto"/>
          <w:highlight w:val="none"/>
          <w:lang w:val="en-US" w:eastAsia="zh-CN"/>
        </w:rPr>
        <w:t>“</w:t>
      </w:r>
      <w:r>
        <w:rPr>
          <w:rFonts w:hint="eastAsia"/>
          <w:sz w:val="22"/>
        </w:rPr>
        <w:t>Discussion</w:t>
      </w:r>
      <w:r>
        <w:rPr>
          <w:rFonts w:hint="eastAsia"/>
          <w:sz w:val="22"/>
          <w:lang w:val="en-US" w:eastAsia="zh-CN"/>
        </w:rPr>
        <w:t xml:space="preserve"> and the draft LS</w:t>
      </w:r>
      <w:r>
        <w:rPr>
          <w:rFonts w:hint="eastAsia"/>
          <w:sz w:val="22"/>
        </w:rPr>
        <w:t> on</w:t>
      </w:r>
      <w:r>
        <w:rPr>
          <w:rFonts w:hint="eastAsia"/>
          <w:sz w:val="22"/>
          <w:lang w:val="en-US" w:eastAsia="zh-CN"/>
        </w:rPr>
        <w:t xml:space="preserve"> </w:t>
      </w:r>
      <w:r>
        <w:rPr>
          <w:rFonts w:hint="eastAsia"/>
          <w:sz w:val="22"/>
        </w:rPr>
        <w:t>UE feature</w:t>
      </w:r>
      <w:r>
        <w:rPr>
          <w:rFonts w:hint="eastAsia"/>
          <w:sz w:val="22"/>
          <w:lang w:val="en-US" w:eastAsia="zh-CN"/>
        </w:rPr>
        <w:t>s</w:t>
      </w:r>
      <w:r>
        <w:rPr>
          <w:rFonts w:hint="eastAsia"/>
          <w:sz w:val="22"/>
        </w:rPr>
        <w:t xml:space="preserve"> for NR ATG</w:t>
      </w:r>
      <w:r>
        <w:rPr>
          <w:rFonts w:hint="default"/>
          <w:color w:val="auto"/>
          <w:highlight w:val="none"/>
          <w:lang w:val="en-US" w:eastAsia="zh-CN"/>
        </w:rPr>
        <w:t>”</w:t>
      </w:r>
      <w:r>
        <w:rPr>
          <w:rFonts w:hint="eastAsia"/>
          <w:color w:val="auto"/>
          <w:highlight w:val="none"/>
          <w:lang w:val="en-US" w:eastAsia="zh-CN"/>
        </w:rPr>
        <w:t>, CMCC</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C1E2749"/>
    <w:multiLevelType w:val="singleLevel"/>
    <w:tmpl w:val="FC1E2749"/>
    <w:lvl w:ilvl="0" w:tentative="0">
      <w:start w:val="1"/>
      <w:numFmt w:val="decimal"/>
      <w:suff w:val="space"/>
      <w:lvlText w:val="[%1]"/>
      <w:lvlJc w:val="left"/>
    </w:lvl>
  </w:abstractNum>
  <w:abstractNum w:abstractNumId="1">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4CB33031"/>
    <w:multiLevelType w:val="multilevel"/>
    <w:tmpl w:val="4CB33031"/>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4D6E3167"/>
    <w:multiLevelType w:val="multilevel"/>
    <w:tmpl w:val="4D6E3167"/>
    <w:lvl w:ilvl="0" w:tentative="0">
      <w:start w:val="1"/>
      <w:numFmt w:val="decimal"/>
      <w:pStyle w:val="4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0"/>
      <w:numFmt w:val="bullet"/>
      <w:lvlText w:val="-"/>
      <w:lvlJc w:val="left"/>
      <w:pPr>
        <w:ind w:left="4536" w:hanging="360"/>
      </w:pPr>
      <w:rPr>
        <w:rFonts w:hint="default" w:ascii="Times New Roman" w:hAnsi="Times New Roman" w:eastAsia="Yu Mincho" w:cs="Times New Roman"/>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6B5B4F67"/>
    <w:multiLevelType w:val="multilevel"/>
    <w:tmpl w:val="6B5B4F67"/>
    <w:lvl w:ilvl="0" w:tentative="0">
      <w:start w:val="1"/>
      <w:numFmt w:val="decimal"/>
      <w:pStyle w:val="11"/>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5"/>
  </w:num>
  <w:num w:numId="2">
    <w:abstractNumId w:val="3"/>
  </w:num>
  <w:num w:numId="3">
    <w:abstractNumId w:val="1"/>
  </w:num>
  <w:num w:numId="4">
    <w:abstractNumId w:val="2"/>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4B"/>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3CC"/>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28B6A1D"/>
    <w:rsid w:val="028F1C3E"/>
    <w:rsid w:val="037D0CB3"/>
    <w:rsid w:val="03D4720A"/>
    <w:rsid w:val="04654053"/>
    <w:rsid w:val="04793516"/>
    <w:rsid w:val="047A3CFF"/>
    <w:rsid w:val="04E73AD0"/>
    <w:rsid w:val="05000747"/>
    <w:rsid w:val="05317828"/>
    <w:rsid w:val="05477E90"/>
    <w:rsid w:val="05BB5AB9"/>
    <w:rsid w:val="05C42923"/>
    <w:rsid w:val="06226EA6"/>
    <w:rsid w:val="065C04B2"/>
    <w:rsid w:val="06963BA6"/>
    <w:rsid w:val="07CB1C61"/>
    <w:rsid w:val="07CD3CDD"/>
    <w:rsid w:val="07F64CE8"/>
    <w:rsid w:val="083E6EA0"/>
    <w:rsid w:val="084E5514"/>
    <w:rsid w:val="0855671D"/>
    <w:rsid w:val="08773328"/>
    <w:rsid w:val="0889722D"/>
    <w:rsid w:val="089009EB"/>
    <w:rsid w:val="08EA2407"/>
    <w:rsid w:val="09716BCA"/>
    <w:rsid w:val="09C27532"/>
    <w:rsid w:val="09D64B23"/>
    <w:rsid w:val="09E644B8"/>
    <w:rsid w:val="0A867423"/>
    <w:rsid w:val="0AB155C2"/>
    <w:rsid w:val="0B12013A"/>
    <w:rsid w:val="0B3D3C2F"/>
    <w:rsid w:val="0BB0429A"/>
    <w:rsid w:val="0BDD6CEC"/>
    <w:rsid w:val="0BFF5FC6"/>
    <w:rsid w:val="0C394019"/>
    <w:rsid w:val="0CD05342"/>
    <w:rsid w:val="0CDB4E5B"/>
    <w:rsid w:val="0CF2414E"/>
    <w:rsid w:val="0D244E26"/>
    <w:rsid w:val="0DEE745F"/>
    <w:rsid w:val="0DFD7458"/>
    <w:rsid w:val="0E104B55"/>
    <w:rsid w:val="0F0A6D3C"/>
    <w:rsid w:val="0FAD3D1E"/>
    <w:rsid w:val="102263EF"/>
    <w:rsid w:val="10293D80"/>
    <w:rsid w:val="10997F43"/>
    <w:rsid w:val="10DE7BAE"/>
    <w:rsid w:val="120774A3"/>
    <w:rsid w:val="12577549"/>
    <w:rsid w:val="12887761"/>
    <w:rsid w:val="13566046"/>
    <w:rsid w:val="14006D19"/>
    <w:rsid w:val="1481754F"/>
    <w:rsid w:val="148F32AB"/>
    <w:rsid w:val="148F5721"/>
    <w:rsid w:val="14AC57CD"/>
    <w:rsid w:val="15ED3E9B"/>
    <w:rsid w:val="164514BE"/>
    <w:rsid w:val="166B2EA9"/>
    <w:rsid w:val="16E73296"/>
    <w:rsid w:val="170F06AA"/>
    <w:rsid w:val="17225508"/>
    <w:rsid w:val="17603D5C"/>
    <w:rsid w:val="17B07FBC"/>
    <w:rsid w:val="180A6E32"/>
    <w:rsid w:val="183F2CD2"/>
    <w:rsid w:val="1856323E"/>
    <w:rsid w:val="18AF55E3"/>
    <w:rsid w:val="18B077E2"/>
    <w:rsid w:val="18B1519A"/>
    <w:rsid w:val="18CD0507"/>
    <w:rsid w:val="18F36BA5"/>
    <w:rsid w:val="193B6DE3"/>
    <w:rsid w:val="195D7D48"/>
    <w:rsid w:val="1A734CEB"/>
    <w:rsid w:val="1AD01A1B"/>
    <w:rsid w:val="1B61065A"/>
    <w:rsid w:val="1B8505B7"/>
    <w:rsid w:val="1BBF3927"/>
    <w:rsid w:val="1C177B08"/>
    <w:rsid w:val="1C9001C6"/>
    <w:rsid w:val="1CBA2101"/>
    <w:rsid w:val="1D0573D7"/>
    <w:rsid w:val="1D153DC4"/>
    <w:rsid w:val="1D223E0B"/>
    <w:rsid w:val="1D317C9F"/>
    <w:rsid w:val="1D6B1DA5"/>
    <w:rsid w:val="1E132F88"/>
    <w:rsid w:val="1E2867E9"/>
    <w:rsid w:val="1E853F6F"/>
    <w:rsid w:val="1E9C7BCC"/>
    <w:rsid w:val="1ECC1E3C"/>
    <w:rsid w:val="1EEE24B1"/>
    <w:rsid w:val="1EF865B5"/>
    <w:rsid w:val="1FC85766"/>
    <w:rsid w:val="203504C5"/>
    <w:rsid w:val="2067621D"/>
    <w:rsid w:val="208364FC"/>
    <w:rsid w:val="208953F9"/>
    <w:rsid w:val="21014C39"/>
    <w:rsid w:val="21244EB1"/>
    <w:rsid w:val="213964D8"/>
    <w:rsid w:val="213D2EB0"/>
    <w:rsid w:val="21595D04"/>
    <w:rsid w:val="21F13629"/>
    <w:rsid w:val="223236B6"/>
    <w:rsid w:val="2255462C"/>
    <w:rsid w:val="22CD49DC"/>
    <w:rsid w:val="22E5139E"/>
    <w:rsid w:val="2305377E"/>
    <w:rsid w:val="237674B3"/>
    <w:rsid w:val="238230CD"/>
    <w:rsid w:val="23901822"/>
    <w:rsid w:val="24122135"/>
    <w:rsid w:val="244E322A"/>
    <w:rsid w:val="24D4257E"/>
    <w:rsid w:val="25595E7E"/>
    <w:rsid w:val="2572202B"/>
    <w:rsid w:val="2605683C"/>
    <w:rsid w:val="26731922"/>
    <w:rsid w:val="26BB1419"/>
    <w:rsid w:val="27A2088A"/>
    <w:rsid w:val="27B748AA"/>
    <w:rsid w:val="27CB4CB9"/>
    <w:rsid w:val="281C2F58"/>
    <w:rsid w:val="28DF773E"/>
    <w:rsid w:val="2901513D"/>
    <w:rsid w:val="29642C4B"/>
    <w:rsid w:val="29C21DCA"/>
    <w:rsid w:val="2A34628C"/>
    <w:rsid w:val="2A724D05"/>
    <w:rsid w:val="2A7E505C"/>
    <w:rsid w:val="2AC85686"/>
    <w:rsid w:val="2AD04B5F"/>
    <w:rsid w:val="2ADA0FDB"/>
    <w:rsid w:val="2B136BA2"/>
    <w:rsid w:val="2BC05B2C"/>
    <w:rsid w:val="2BD617C5"/>
    <w:rsid w:val="2C112837"/>
    <w:rsid w:val="2C9B1252"/>
    <w:rsid w:val="2C9C2786"/>
    <w:rsid w:val="2CC13667"/>
    <w:rsid w:val="2D977CDA"/>
    <w:rsid w:val="2E014790"/>
    <w:rsid w:val="2E3F30C4"/>
    <w:rsid w:val="2EE77680"/>
    <w:rsid w:val="2F2F0FC8"/>
    <w:rsid w:val="2FA70460"/>
    <w:rsid w:val="2FDE0AA7"/>
    <w:rsid w:val="30057FE3"/>
    <w:rsid w:val="301C6BB6"/>
    <w:rsid w:val="311A1818"/>
    <w:rsid w:val="31876C6F"/>
    <w:rsid w:val="319708F2"/>
    <w:rsid w:val="31A8260E"/>
    <w:rsid w:val="31B14C9E"/>
    <w:rsid w:val="32B46B3E"/>
    <w:rsid w:val="332B149D"/>
    <w:rsid w:val="33C522D7"/>
    <w:rsid w:val="344C156B"/>
    <w:rsid w:val="34807672"/>
    <w:rsid w:val="35B06C6A"/>
    <w:rsid w:val="366149EB"/>
    <w:rsid w:val="36941AA2"/>
    <w:rsid w:val="36D37423"/>
    <w:rsid w:val="37316B6C"/>
    <w:rsid w:val="379D23F9"/>
    <w:rsid w:val="37C63114"/>
    <w:rsid w:val="38621430"/>
    <w:rsid w:val="3A185287"/>
    <w:rsid w:val="3A1F46B8"/>
    <w:rsid w:val="3A281202"/>
    <w:rsid w:val="3A692CD0"/>
    <w:rsid w:val="3AAE4AA7"/>
    <w:rsid w:val="3AF23299"/>
    <w:rsid w:val="3B1156F3"/>
    <w:rsid w:val="3B270929"/>
    <w:rsid w:val="3B3D5571"/>
    <w:rsid w:val="3B673620"/>
    <w:rsid w:val="3B9A1F29"/>
    <w:rsid w:val="3BFF3047"/>
    <w:rsid w:val="3C8D7627"/>
    <w:rsid w:val="3CE4646B"/>
    <w:rsid w:val="3CFC1228"/>
    <w:rsid w:val="3D5E7AA8"/>
    <w:rsid w:val="3D6F2596"/>
    <w:rsid w:val="3D946587"/>
    <w:rsid w:val="3DE672C9"/>
    <w:rsid w:val="3DF2306A"/>
    <w:rsid w:val="3FEC6FC4"/>
    <w:rsid w:val="4042383D"/>
    <w:rsid w:val="405F175E"/>
    <w:rsid w:val="40C765F3"/>
    <w:rsid w:val="426217F9"/>
    <w:rsid w:val="42AF3D95"/>
    <w:rsid w:val="42C9357F"/>
    <w:rsid w:val="42F869D2"/>
    <w:rsid w:val="43186073"/>
    <w:rsid w:val="43553536"/>
    <w:rsid w:val="44972678"/>
    <w:rsid w:val="451632B9"/>
    <w:rsid w:val="45906394"/>
    <w:rsid w:val="45C245CB"/>
    <w:rsid w:val="45F60A50"/>
    <w:rsid w:val="46142D0C"/>
    <w:rsid w:val="46263A53"/>
    <w:rsid w:val="46970A81"/>
    <w:rsid w:val="46A86BFA"/>
    <w:rsid w:val="46B036BF"/>
    <w:rsid w:val="46CC320F"/>
    <w:rsid w:val="47282363"/>
    <w:rsid w:val="477C2B8D"/>
    <w:rsid w:val="47810C98"/>
    <w:rsid w:val="47924F0A"/>
    <w:rsid w:val="48EE54ED"/>
    <w:rsid w:val="48F407FD"/>
    <w:rsid w:val="494D0152"/>
    <w:rsid w:val="49DC4EAC"/>
    <w:rsid w:val="49E55BC5"/>
    <w:rsid w:val="4A5D0BB5"/>
    <w:rsid w:val="4A784B9A"/>
    <w:rsid w:val="4ADC0DE1"/>
    <w:rsid w:val="4B600E77"/>
    <w:rsid w:val="4B8B4475"/>
    <w:rsid w:val="4B8F684D"/>
    <w:rsid w:val="4BF02011"/>
    <w:rsid w:val="4C011682"/>
    <w:rsid w:val="4C1C63D6"/>
    <w:rsid w:val="4C2D52ED"/>
    <w:rsid w:val="4C475FD9"/>
    <w:rsid w:val="4C4F7C59"/>
    <w:rsid w:val="4C864A35"/>
    <w:rsid w:val="4D207A05"/>
    <w:rsid w:val="4D53283E"/>
    <w:rsid w:val="4D6F4DFF"/>
    <w:rsid w:val="4E015C76"/>
    <w:rsid w:val="4E310026"/>
    <w:rsid w:val="4E4A2325"/>
    <w:rsid w:val="4F107345"/>
    <w:rsid w:val="4F234D65"/>
    <w:rsid w:val="4FC7362A"/>
    <w:rsid w:val="4FFF7B8D"/>
    <w:rsid w:val="501A6C55"/>
    <w:rsid w:val="515B1740"/>
    <w:rsid w:val="51B14BED"/>
    <w:rsid w:val="52526454"/>
    <w:rsid w:val="525C1CEF"/>
    <w:rsid w:val="528B5767"/>
    <w:rsid w:val="52D33625"/>
    <w:rsid w:val="53A3105E"/>
    <w:rsid w:val="53C64B93"/>
    <w:rsid w:val="548A6C60"/>
    <w:rsid w:val="54DE7749"/>
    <w:rsid w:val="55B1164D"/>
    <w:rsid w:val="55B4735E"/>
    <w:rsid w:val="55BB221D"/>
    <w:rsid w:val="55DF5537"/>
    <w:rsid w:val="56371459"/>
    <w:rsid w:val="56484633"/>
    <w:rsid w:val="574036F5"/>
    <w:rsid w:val="57FF4799"/>
    <w:rsid w:val="58D0053D"/>
    <w:rsid w:val="595A2A3C"/>
    <w:rsid w:val="598C40A0"/>
    <w:rsid w:val="59990ED0"/>
    <w:rsid w:val="59B95448"/>
    <w:rsid w:val="59DA647E"/>
    <w:rsid w:val="5A556E1A"/>
    <w:rsid w:val="5BA33C64"/>
    <w:rsid w:val="5BF92FF2"/>
    <w:rsid w:val="5C0C7CD1"/>
    <w:rsid w:val="5C924E81"/>
    <w:rsid w:val="5D724260"/>
    <w:rsid w:val="5DED27D5"/>
    <w:rsid w:val="5E015742"/>
    <w:rsid w:val="5E2864D0"/>
    <w:rsid w:val="5E494511"/>
    <w:rsid w:val="5EB44FC0"/>
    <w:rsid w:val="5FBA395F"/>
    <w:rsid w:val="60094E5C"/>
    <w:rsid w:val="606F38F4"/>
    <w:rsid w:val="60EC2CBA"/>
    <w:rsid w:val="612A4DC3"/>
    <w:rsid w:val="61751E71"/>
    <w:rsid w:val="61CC2D28"/>
    <w:rsid w:val="623E10C1"/>
    <w:rsid w:val="62B35208"/>
    <w:rsid w:val="635902CD"/>
    <w:rsid w:val="63C03536"/>
    <w:rsid w:val="63E95C2E"/>
    <w:rsid w:val="64282DCC"/>
    <w:rsid w:val="64706BBE"/>
    <w:rsid w:val="64F2095B"/>
    <w:rsid w:val="64F93A4C"/>
    <w:rsid w:val="652470FF"/>
    <w:rsid w:val="65A16A49"/>
    <w:rsid w:val="67A858DB"/>
    <w:rsid w:val="67FE4166"/>
    <w:rsid w:val="687314D3"/>
    <w:rsid w:val="68C401C3"/>
    <w:rsid w:val="695848C3"/>
    <w:rsid w:val="69A833BD"/>
    <w:rsid w:val="69AF6305"/>
    <w:rsid w:val="69EF6835"/>
    <w:rsid w:val="6A017EF7"/>
    <w:rsid w:val="6D566F0F"/>
    <w:rsid w:val="6D836F72"/>
    <w:rsid w:val="6D8D1B93"/>
    <w:rsid w:val="6DDE3DAF"/>
    <w:rsid w:val="6DE76B3B"/>
    <w:rsid w:val="6E3241BE"/>
    <w:rsid w:val="6EB97A9D"/>
    <w:rsid w:val="6EF10A90"/>
    <w:rsid w:val="6EFC7DED"/>
    <w:rsid w:val="6F2309BE"/>
    <w:rsid w:val="6F2A7FBF"/>
    <w:rsid w:val="6FAE5A48"/>
    <w:rsid w:val="6FFF1868"/>
    <w:rsid w:val="707E77A2"/>
    <w:rsid w:val="713872F5"/>
    <w:rsid w:val="715F4C2D"/>
    <w:rsid w:val="71DD657B"/>
    <w:rsid w:val="722F78FB"/>
    <w:rsid w:val="723C2F8E"/>
    <w:rsid w:val="723D67C5"/>
    <w:rsid w:val="726A5F44"/>
    <w:rsid w:val="72BF60CA"/>
    <w:rsid w:val="72F41282"/>
    <w:rsid w:val="73020973"/>
    <w:rsid w:val="733D0D32"/>
    <w:rsid w:val="73B76769"/>
    <w:rsid w:val="73D411F1"/>
    <w:rsid w:val="744C446A"/>
    <w:rsid w:val="74701A0B"/>
    <w:rsid w:val="74A356B2"/>
    <w:rsid w:val="753811DE"/>
    <w:rsid w:val="75BE67D4"/>
    <w:rsid w:val="75C2004C"/>
    <w:rsid w:val="75C759C1"/>
    <w:rsid w:val="76281B03"/>
    <w:rsid w:val="762D64F3"/>
    <w:rsid w:val="762E20AD"/>
    <w:rsid w:val="767E7EFF"/>
    <w:rsid w:val="76B05EE3"/>
    <w:rsid w:val="775B4604"/>
    <w:rsid w:val="77C067C3"/>
    <w:rsid w:val="77CF305F"/>
    <w:rsid w:val="78074939"/>
    <w:rsid w:val="785A7CE0"/>
    <w:rsid w:val="78911E31"/>
    <w:rsid w:val="78F9732D"/>
    <w:rsid w:val="7922350F"/>
    <w:rsid w:val="792B5470"/>
    <w:rsid w:val="7A283224"/>
    <w:rsid w:val="7A2F5236"/>
    <w:rsid w:val="7A9367CB"/>
    <w:rsid w:val="7AEF5C78"/>
    <w:rsid w:val="7AF22571"/>
    <w:rsid w:val="7B0720CF"/>
    <w:rsid w:val="7B4C0E47"/>
    <w:rsid w:val="7B69224B"/>
    <w:rsid w:val="7BE80F25"/>
    <w:rsid w:val="7C1C35A7"/>
    <w:rsid w:val="7C45431D"/>
    <w:rsid w:val="7CA86B79"/>
    <w:rsid w:val="7D1566AD"/>
    <w:rsid w:val="7D25352B"/>
    <w:rsid w:val="7D3219D5"/>
    <w:rsid w:val="7DDD0501"/>
    <w:rsid w:val="7DE51372"/>
    <w:rsid w:val="7E3D0B49"/>
    <w:rsid w:val="7E5E590F"/>
    <w:rsid w:val="7E935AFB"/>
    <w:rsid w:val="7F226D81"/>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3"/>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4"/>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51"/>
    <w:unhideWhenUsed/>
    <w:qFormat/>
    <w:uiPriority w:val="9"/>
    <w:pPr>
      <w:keepNext/>
      <w:keepLines/>
      <w:spacing w:before="260" w:after="260" w:line="416" w:lineRule="auto"/>
      <w:outlineLvl w:val="2"/>
    </w:pPr>
    <w:rPr>
      <w:sz w:val="32"/>
      <w:szCs w:val="32"/>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unhideWhenUsed/>
    <w:qFormat/>
    <w:uiPriority w:val="35"/>
    <w:rPr>
      <w:rFonts w:ascii="Cambria" w:hAnsi="Cambria" w:eastAsia="黑体"/>
      <w:szCs w:val="20"/>
    </w:rPr>
  </w:style>
  <w:style w:type="paragraph" w:styleId="8">
    <w:name w:val="Document Map"/>
    <w:basedOn w:val="1"/>
    <w:link w:val="31"/>
    <w:semiHidden/>
    <w:unhideWhenUsed/>
    <w:qFormat/>
    <w:uiPriority w:val="99"/>
    <w:rPr>
      <w:rFonts w:ascii="宋体" w:eastAsia="宋体"/>
      <w:sz w:val="18"/>
      <w:szCs w:val="18"/>
    </w:rPr>
  </w:style>
  <w:style w:type="paragraph" w:styleId="9">
    <w:name w:val="annotation text"/>
    <w:basedOn w:val="1"/>
    <w:semiHidden/>
    <w:unhideWhenUsed/>
    <w:qFormat/>
    <w:uiPriority w:val="0"/>
    <w:pPr>
      <w:jc w:val="left"/>
    </w:pPr>
  </w:style>
  <w:style w:type="paragraph" w:styleId="10">
    <w:name w:val="Body Text"/>
    <w:basedOn w:val="1"/>
    <w:link w:val="25"/>
    <w:qFormat/>
    <w:uiPriority w:val="0"/>
    <w:pPr>
      <w:spacing w:after="120"/>
      <w:jc w:val="both"/>
    </w:pPr>
    <w:rPr>
      <w:rFonts w:eastAsia="MS Mincho"/>
      <w:lang w:val="zh-CN"/>
    </w:rPr>
  </w:style>
  <w:style w:type="paragraph" w:styleId="11">
    <w:name w:val="List 2"/>
    <w:basedOn w:val="12"/>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2">
    <w:name w:val="List"/>
    <w:basedOn w:val="1"/>
    <w:semiHidden/>
    <w:unhideWhenUsed/>
    <w:qFormat/>
    <w:uiPriority w:val="99"/>
    <w:pPr>
      <w:ind w:left="200" w:hanging="200" w:hangingChars="200"/>
      <w:contextualSpacing/>
    </w:pPr>
  </w:style>
  <w:style w:type="paragraph" w:styleId="13">
    <w:name w:val="Date"/>
    <w:basedOn w:val="1"/>
    <w:next w:val="1"/>
    <w:link w:val="48"/>
    <w:semiHidden/>
    <w:unhideWhenUsed/>
    <w:qFormat/>
    <w:uiPriority w:val="99"/>
    <w:pPr>
      <w:ind w:left="100" w:leftChars="2500"/>
    </w:pPr>
  </w:style>
  <w:style w:type="paragraph" w:styleId="14">
    <w:name w:val="Balloon Text"/>
    <w:basedOn w:val="1"/>
    <w:link w:val="29"/>
    <w:semiHidden/>
    <w:unhideWhenUsed/>
    <w:qFormat/>
    <w:uiPriority w:val="99"/>
    <w:rPr>
      <w:sz w:val="18"/>
      <w:szCs w:val="18"/>
      <w:lang w:val="zh-CN"/>
    </w:rPr>
  </w:style>
  <w:style w:type="paragraph" w:styleId="15">
    <w:name w:val="footer"/>
    <w:basedOn w:val="1"/>
    <w:link w:val="28"/>
    <w:unhideWhenUsed/>
    <w:qFormat/>
    <w:uiPriority w:val="99"/>
    <w:pPr>
      <w:tabs>
        <w:tab w:val="center" w:pos="4153"/>
        <w:tab w:val="right" w:pos="8306"/>
      </w:tabs>
      <w:snapToGrid w:val="0"/>
    </w:pPr>
    <w:rPr>
      <w:sz w:val="18"/>
      <w:szCs w:val="18"/>
      <w:lang w:val="zh-CN"/>
    </w:rPr>
  </w:style>
  <w:style w:type="paragraph" w:styleId="16">
    <w:name w:val="header"/>
    <w:basedOn w:val="1"/>
    <w:link w:val="26"/>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customStyle="1" w:styleId="23">
    <w:name w:val="Heading 1 Char"/>
    <w:link w:val="2"/>
    <w:qFormat/>
    <w:uiPriority w:val="0"/>
    <w:rPr>
      <w:rFonts w:ascii="Helvetica" w:hAnsi="Helvetica" w:eastAsia="MS Mincho" w:cs="Times New Roman"/>
      <w:b/>
      <w:bCs/>
      <w:kern w:val="32"/>
      <w:sz w:val="28"/>
      <w:szCs w:val="32"/>
      <w:lang w:val="zh-CN" w:eastAsia="en-US"/>
    </w:rPr>
  </w:style>
  <w:style w:type="character" w:customStyle="1" w:styleId="24">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5">
    <w:name w:val="Body Text Char"/>
    <w:link w:val="10"/>
    <w:qFormat/>
    <w:uiPriority w:val="0"/>
    <w:rPr>
      <w:rFonts w:ascii="Times New Roman" w:hAnsi="Times New Roman" w:eastAsia="MS Mincho" w:cs="Times New Roman"/>
      <w:kern w:val="0"/>
      <w:sz w:val="20"/>
      <w:szCs w:val="24"/>
      <w:lang w:val="zh-CN" w:eastAsia="en-US"/>
    </w:rPr>
  </w:style>
  <w:style w:type="character" w:customStyle="1" w:styleId="26">
    <w:name w:val="Header Char"/>
    <w:link w:val="16"/>
    <w:qFormat/>
    <w:uiPriority w:val="0"/>
    <w:rPr>
      <w:rFonts w:ascii="Arial" w:hAnsi="Arial" w:eastAsia="MS Mincho" w:cs="Times New Roman"/>
      <w:b/>
      <w:kern w:val="0"/>
      <w:sz w:val="20"/>
      <w:szCs w:val="24"/>
      <w:lang w:val="zh-CN" w:eastAsia="en-US"/>
    </w:rPr>
  </w:style>
  <w:style w:type="paragraph" w:customStyle="1" w:styleId="27">
    <w:name w:val="Paragraphe de liste"/>
    <w:basedOn w:val="1"/>
    <w:qFormat/>
    <w:uiPriority w:val="34"/>
    <w:pPr>
      <w:ind w:left="720"/>
    </w:pPr>
    <w:rPr>
      <w:rFonts w:eastAsia="宋体"/>
      <w:sz w:val="24"/>
      <w:lang w:val="fr-FR" w:eastAsia="zh-CN"/>
    </w:rPr>
  </w:style>
  <w:style w:type="character" w:customStyle="1" w:styleId="28">
    <w:name w:val="Footer Char"/>
    <w:link w:val="15"/>
    <w:qFormat/>
    <w:uiPriority w:val="99"/>
    <w:rPr>
      <w:rFonts w:ascii="Times New Roman" w:hAnsi="Times New Roman" w:eastAsia="Times New Roman" w:cs="Times New Roman"/>
      <w:kern w:val="0"/>
      <w:sz w:val="18"/>
      <w:szCs w:val="18"/>
      <w:lang w:eastAsia="en-US"/>
    </w:rPr>
  </w:style>
  <w:style w:type="character" w:customStyle="1" w:styleId="29">
    <w:name w:val="Balloon Text Char"/>
    <w:link w:val="14"/>
    <w:semiHidden/>
    <w:qFormat/>
    <w:uiPriority w:val="99"/>
    <w:rPr>
      <w:rFonts w:ascii="Times New Roman" w:hAnsi="Times New Roman" w:eastAsia="Times New Roman" w:cs="Times New Roman"/>
      <w:kern w:val="0"/>
      <w:sz w:val="18"/>
      <w:szCs w:val="18"/>
      <w:lang w:eastAsia="en-US"/>
    </w:rPr>
  </w:style>
  <w:style w:type="paragraph" w:styleId="30">
    <w:name w:val="List Paragraph"/>
    <w:basedOn w:val="1"/>
    <w:link w:val="46"/>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1">
    <w:name w:val="Document Map Char"/>
    <w:link w:val="8"/>
    <w:semiHidden/>
    <w:qFormat/>
    <w:uiPriority w:val="99"/>
    <w:rPr>
      <w:rFonts w:ascii="宋体" w:hAnsi="Times New Roman"/>
      <w:sz w:val="18"/>
      <w:szCs w:val="18"/>
      <w:lang w:eastAsia="en-US"/>
    </w:rPr>
  </w:style>
  <w:style w:type="paragraph" w:customStyle="1" w:styleId="32">
    <w:name w:val="B1"/>
    <w:basedOn w:val="12"/>
    <w:link w:val="33"/>
    <w:qFormat/>
    <w:uiPriority w:val="0"/>
    <w:pPr>
      <w:spacing w:after="180"/>
      <w:ind w:left="568" w:hanging="284" w:firstLineChars="0"/>
      <w:contextualSpacing w:val="0"/>
    </w:pPr>
    <w:rPr>
      <w:rFonts w:eastAsia="宋体"/>
      <w:szCs w:val="20"/>
      <w:lang w:val="en-GB"/>
    </w:rPr>
  </w:style>
  <w:style w:type="character" w:customStyle="1" w:styleId="33">
    <w:name w:val="B1 (文字)"/>
    <w:link w:val="32"/>
    <w:qFormat/>
    <w:locked/>
    <w:uiPriority w:val="0"/>
    <w:rPr>
      <w:rFonts w:ascii="Times New Roman" w:hAnsi="Times New Roman"/>
      <w:lang w:val="en-GB" w:eastAsia="en-US"/>
    </w:rPr>
  </w:style>
  <w:style w:type="character" w:customStyle="1" w:styleId="34">
    <w:name w:val="B1 Char1"/>
    <w:qFormat/>
    <w:uiPriority w:val="0"/>
    <w:rPr>
      <w:lang w:val="en-GB" w:eastAsia="en-US"/>
    </w:rPr>
  </w:style>
  <w:style w:type="paragraph" w:customStyle="1" w:styleId="35">
    <w:name w:val="TAH"/>
    <w:basedOn w:val="36"/>
    <w:link w:val="41"/>
    <w:qFormat/>
    <w:uiPriority w:val="0"/>
    <w:rPr>
      <w:b/>
    </w:rPr>
  </w:style>
  <w:style w:type="paragraph" w:customStyle="1" w:styleId="36">
    <w:name w:val="TAC"/>
    <w:basedOn w:val="37"/>
    <w:link w:val="40"/>
    <w:qFormat/>
    <w:uiPriority w:val="0"/>
    <w:pPr>
      <w:keepNext/>
      <w:keepLines/>
      <w:jc w:val="center"/>
    </w:pPr>
    <w:rPr>
      <w:rFonts w:ascii="Arial" w:hAnsi="Arial" w:eastAsia="宋体"/>
      <w:sz w:val="18"/>
      <w:szCs w:val="20"/>
      <w:lang w:val="en-GB" w:eastAsia="zh-CN"/>
    </w:rPr>
  </w:style>
  <w:style w:type="paragraph" w:customStyle="1" w:styleId="37">
    <w:name w:val="TAL"/>
    <w:basedOn w:val="1"/>
    <w:link w:val="50"/>
    <w:qFormat/>
    <w:uiPriority w:val="0"/>
    <w:pPr>
      <w:keepNext/>
      <w:keepLines/>
    </w:pPr>
    <w:rPr>
      <w:rFonts w:ascii="Arial" w:hAnsi="Arial" w:eastAsia="宋体"/>
      <w:sz w:val="18"/>
      <w:szCs w:val="20"/>
      <w:lang w:val="en-GB"/>
    </w:rPr>
  </w:style>
  <w:style w:type="paragraph" w:customStyle="1" w:styleId="38">
    <w:name w:val="TH"/>
    <w:basedOn w:val="1"/>
    <w:link w:val="39"/>
    <w:qFormat/>
    <w:uiPriority w:val="0"/>
    <w:pPr>
      <w:keepNext/>
      <w:keepLines/>
      <w:spacing w:before="60" w:after="180"/>
      <w:jc w:val="center"/>
    </w:pPr>
    <w:rPr>
      <w:rFonts w:ascii="Arial" w:hAnsi="Arial" w:eastAsia="宋体"/>
      <w:b/>
      <w:szCs w:val="20"/>
      <w:lang w:val="en-GB" w:eastAsia="zh-CN"/>
    </w:rPr>
  </w:style>
  <w:style w:type="character" w:customStyle="1" w:styleId="39">
    <w:name w:val="TH Char"/>
    <w:link w:val="38"/>
    <w:qFormat/>
    <w:uiPriority w:val="0"/>
    <w:rPr>
      <w:rFonts w:ascii="Arial" w:hAnsi="Arial" w:eastAsia="宋体"/>
      <w:b/>
      <w:lang w:val="en-GB" w:eastAsia="zh-CN"/>
    </w:rPr>
  </w:style>
  <w:style w:type="character" w:customStyle="1" w:styleId="40">
    <w:name w:val="TAC Char"/>
    <w:link w:val="36"/>
    <w:qFormat/>
    <w:uiPriority w:val="0"/>
    <w:rPr>
      <w:rFonts w:ascii="Arial" w:hAnsi="Arial" w:eastAsia="宋体"/>
      <w:sz w:val="18"/>
      <w:lang w:val="en-GB" w:eastAsia="zh-CN"/>
    </w:rPr>
  </w:style>
  <w:style w:type="character" w:customStyle="1" w:styleId="41">
    <w:name w:val="TAH Car"/>
    <w:link w:val="35"/>
    <w:qFormat/>
    <w:uiPriority w:val="0"/>
    <w:rPr>
      <w:rFonts w:ascii="Arial" w:hAnsi="Arial" w:eastAsia="宋体"/>
      <w:b/>
      <w:sz w:val="18"/>
      <w:lang w:val="en-GB" w:eastAsia="zh-CN"/>
    </w:rPr>
  </w:style>
  <w:style w:type="paragraph" w:customStyle="1" w:styleId="4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3">
    <w:name w:val="TAR"/>
    <w:basedOn w:val="1"/>
    <w:qFormat/>
    <w:uiPriority w:val="0"/>
    <w:pPr>
      <w:keepNext/>
      <w:keepLines/>
      <w:jc w:val="right"/>
    </w:pPr>
    <w:rPr>
      <w:rFonts w:ascii="Arial" w:hAnsi="Arial" w:eastAsia="宋体"/>
      <w:sz w:val="18"/>
      <w:szCs w:val="20"/>
      <w:lang w:val="en-GB"/>
    </w:rPr>
  </w:style>
  <w:style w:type="paragraph" w:customStyle="1" w:styleId="44">
    <w:name w:val="RAN4 proposal"/>
    <w:basedOn w:val="7"/>
    <w:next w:val="1"/>
    <w:link w:val="45"/>
    <w:qFormat/>
    <w:uiPriority w:val="0"/>
    <w:pPr>
      <w:numPr>
        <w:ilvl w:val="0"/>
        <w:numId w:val="2"/>
      </w:numPr>
      <w:spacing w:after="200"/>
      <w:ind w:left="0" w:firstLine="0"/>
    </w:pPr>
    <w:rPr>
      <w:rFonts w:ascii="Times New Roman" w:hAnsi="Times New Roman" w:eastAsia="宋体"/>
      <w:b/>
      <w:iCs/>
      <w:szCs w:val="18"/>
    </w:rPr>
  </w:style>
  <w:style w:type="character" w:customStyle="1" w:styleId="45">
    <w:name w:val="RAN4 proposal Char"/>
    <w:link w:val="44"/>
    <w:qFormat/>
    <w:uiPriority w:val="0"/>
    <w:rPr>
      <w:rFonts w:ascii="Times New Roman" w:hAnsi="Times New Roman"/>
      <w:b/>
      <w:iCs/>
      <w:szCs w:val="18"/>
      <w:lang w:eastAsia="en-US"/>
    </w:rPr>
  </w:style>
  <w:style w:type="character" w:customStyle="1" w:styleId="46">
    <w:name w:val="List Paragraph Char"/>
    <w:link w:val="30"/>
    <w:qFormat/>
    <w:uiPriority w:val="34"/>
    <w:rPr>
      <w:kern w:val="2"/>
      <w:sz w:val="21"/>
      <w:szCs w:val="22"/>
    </w:rPr>
  </w:style>
  <w:style w:type="character" w:customStyle="1" w:styleId="47">
    <w:name w:val="ZGSM"/>
    <w:qFormat/>
    <w:uiPriority w:val="0"/>
  </w:style>
  <w:style w:type="character" w:customStyle="1" w:styleId="48">
    <w:name w:val="Date Char"/>
    <w:link w:val="13"/>
    <w:semiHidden/>
    <w:qFormat/>
    <w:uiPriority w:val="99"/>
    <w:rPr>
      <w:rFonts w:ascii="Times New Roman" w:hAnsi="Times New Roman" w:eastAsia="Times New Roman"/>
      <w:szCs w:val="24"/>
      <w:lang w:eastAsia="en-US"/>
    </w:rPr>
  </w:style>
  <w:style w:type="paragraph" w:customStyle="1" w:styleId="49">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0">
    <w:name w:val="TAL Char"/>
    <w:link w:val="37"/>
    <w:qFormat/>
    <w:uiPriority w:val="0"/>
    <w:rPr>
      <w:rFonts w:ascii="Arial" w:hAnsi="Arial"/>
      <w:sz w:val="18"/>
      <w:lang w:val="en-GB" w:eastAsia="en-US"/>
    </w:rPr>
  </w:style>
  <w:style w:type="character" w:customStyle="1" w:styleId="51">
    <w:name w:val="Heading 3 Char"/>
    <w:link w:val="4"/>
    <w:qFormat/>
    <w:uiPriority w:val="9"/>
    <w:rPr>
      <w:rFonts w:ascii="Times New Roman" w:hAnsi="Times New Roman" w:eastAsia="Times New Roman"/>
      <w:b/>
      <w:bCs/>
      <w:sz w:val="32"/>
      <w:szCs w:val="32"/>
      <w:lang w:eastAsia="en-US"/>
    </w:rPr>
  </w:style>
  <w:style w:type="character" w:customStyle="1" w:styleId="52">
    <w:name w:val="TAL Car"/>
    <w:qFormat/>
    <w:uiPriority w:val="0"/>
    <w:rPr>
      <w:rFonts w:ascii="Arial" w:hAnsi="Arial" w:eastAsia="Times New Roman" w:cs="Times New Roman"/>
      <w:kern w:val="0"/>
      <w:sz w:val="18"/>
      <w:szCs w:val="20"/>
      <w:lang w:val="en-GB" w:eastAsia="ko-KR"/>
    </w:rPr>
  </w:style>
  <w:style w:type="paragraph" w:customStyle="1" w:styleId="53">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4">
    <w:name w:val="TAN"/>
    <w:basedOn w:val="37"/>
    <w:qFormat/>
    <w:uiPriority w:val="0"/>
    <w:pPr>
      <w:ind w:left="851" w:hanging="851"/>
    </w:pPr>
  </w:style>
  <w:style w:type="character" w:customStyle="1" w:styleId="55">
    <w:name w:val="normaltextrun"/>
    <w:basedOn w:val="20"/>
    <w:qFormat/>
    <w:uiPriority w:val="0"/>
  </w:style>
  <w:style w:type="character" w:customStyle="1" w:styleId="56">
    <w:name w:val="eop"/>
    <w:basedOn w:val="20"/>
    <w:qFormat/>
    <w:uiPriority w:val="0"/>
  </w:style>
  <w:style w:type="paragraph" w:customStyle="1" w:styleId="57">
    <w:name w:val="paragraph"/>
    <w:basedOn w:val="1"/>
    <w:qFormat/>
    <w:uiPriority w:val="0"/>
    <w:pPr>
      <w:spacing w:before="100" w:beforeAutospacing="1" w:after="100" w:afterAutospacing="1"/>
    </w:pPr>
    <w:rPr>
      <w:rFonts w:eastAsia="Times New Roman"/>
      <w:sz w:val="24"/>
      <w:szCs w:val="24"/>
    </w:rPr>
  </w:style>
  <w:style w:type="paragraph" w:customStyle="1" w:styleId="58">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9">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eastAsia="Batang" w:cs="Times New Roman"/>
      <w:sz w:val="16"/>
      <w:lang w:val="en-GB" w:eastAsia="sv-SE"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1</TotalTime>
  <ScaleCrop>false</ScaleCrop>
  <LinksUpToDate>false</LinksUpToDate>
  <CharactersWithSpaces>3669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2024-02-19T10:05:37Z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37E5B2F501C7414CA35566C79889349E</vt:lpwstr>
  </property>
</Properties>
</file>